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7.png" ContentType="image/png"/>
  <Override PartName="/word/media/rId33.png" ContentType="image/png"/>
  <Override PartName="/word/media/rId81.png" ContentType="image/png"/>
  <Override PartName="/word/media/rId38.png" ContentType="image/png"/>
  <Override PartName="/word/media/rId43.png" ContentType="image/png"/>
  <Override PartName="/word/media/rId48.png" ContentType="image/png"/>
  <Override PartName="/word/media/rId65.png" ContentType="image/png"/>
  <Override PartName="/word/media/rId61.png" ContentType="image/png"/>
  <Override PartName="/word/media/rId69.png" ContentType="image/png"/>
  <Override PartName="/word/media/rId77.png" ContentType="image/png"/>
  <Override PartName="/word/media/rId73.png" ContentType="image/png"/>
  <Override PartName="/word/media/rId57.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w:t>
      </w:r>
    </w:p>
    <w:bookmarkStart w:id="9"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published estimates of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monitor superspreading risk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9"/>
    <w:bookmarkStart w:id="10"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(“between-person infectiousness variability” hypothesis) or whether most individuals pass through a highly infectious period which happens to coincide with a period of high contact (“between-person contact variability and within-person infectiousness variability” 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published data on viral load trajectories and infectivity combined with data on reported numbers of daily contacts from two social contact surveys in the UK. As overdispersion in the social contact data has not previously been analysed or reported, we first perform a descriptive analysis of the social contact data.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assumed to be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r>
            <m:rPr>
              <m:sty m:val="p"/>
            </m:rPr>
            <m:t>(</m:t>
          </m:r>
          <m:r>
            <m:t>k</m:t>
          </m:r>
          <m:r>
            <m:rPr>
              <m:sty m:val="p"/>
            </m:rPr>
            <m:t>,</m:t>
          </m:r>
          <m:r>
            <m:t>R</m:t>
          </m:r>
          <m:r>
            <m:rPr>
              <m:sty m:val="p"/>
            </m:rPr>
            <m:t>)</m:t>
          </m:r>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r>
            <m:rPr>
              <m:sty m:val="p"/>
            </m:rPr>
            <m:t>(</m:t>
          </m:r>
          <m:sSub>
            <m:e>
              <m:r>
                <m:t>R</m:t>
              </m:r>
            </m:e>
            <m:sub>
              <m:r>
                <m:t>i</m:t>
              </m:r>
            </m:sub>
          </m:sSub>
          <m:r>
            <m:rPr>
              <m:sty m:val="p"/>
            </m:rPr>
            <m:t>)</m:t>
          </m:r>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10"/>
    <w:bookmarkStart w:id="26" w:name="methods"/>
    <w:p>
      <w:pPr>
        <w:pStyle w:val="Heading2"/>
      </w:pPr>
      <w:r>
        <w:t xml:space="preserve">Methods</w:t>
      </w:r>
    </w:p>
    <w:bookmarkStart w:id="13" w:name="contact-data"/>
    <w:p>
      <w:pPr>
        <w:pStyle w:val="Heading3"/>
      </w:pPr>
      <w:r>
        <w:t xml:space="preserve">Contact data</w:t>
      </w:r>
    </w:p>
    <w:bookmarkStart w:id="11"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 Children under 13 years of age were excluded from participating for ethical reasons.</w:t>
      </w:r>
    </w:p>
    <w:bookmarkEnd w:id="11"/>
    <w:bookmarkStart w:id="12"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w:t>
      </w:r>
      <w:r>
        <w:t xml:space="preserve"> </w:t>
      </w:r>
      <m:oMath>
        <m:r>
          <m:t>R</m:t>
        </m:r>
      </m:oMath>
      <w:r>
        <w:t xml:space="preserve"> </w:t>
      </w:r>
      <w:r>
        <w:t xml:space="preserve">and</w:t>
      </w:r>
      <w:r>
        <w:t xml:space="preserve"> </w:t>
      </w:r>
      <m:oMath>
        <m:r>
          <m:t>k</m:t>
        </m:r>
      </m:oMath>
      <w:r>
        <w:t xml:space="preserve"> </w:t>
      </w:r>
      <w:r>
        <w:t xml:space="preserve">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 Table 1) from the CoMix data and sampling proportionally from this distribution for the BBC Pandemic contacts.</w:t>
      </w:r>
    </w:p>
    <w:bookmarkEnd w:id="12"/>
    <w:bookmarkEnd w:id="13"/>
    <w:bookmarkStart w:id="14"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(Table 1).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m:t>
        </m:r>
        <m:r>
          <m:t>0</m:t>
        </m:r>
      </m:oMath>
      <w:r>
        <w:t xml:space="preserve">,</w:t>
      </w:r>
      <w:r>
        <w:t xml:space="preserve"> </w:t>
      </w:r>
      <m:oMath>
        <m:r>
          <m:rPr>
            <m:sty m:val="p"/>
          </m:rPr>
          <m:t>Δ</m:t>
        </m:r>
      </m:oMath>
      <w:r>
        <w:t xml:space="preserve">AIC = +2.0, LRT</w:t>
      </w:r>
      <w:r>
        <w:t xml:space="preserve"> </w:t>
      </w:r>
      <m:oMath>
        <m:r>
          <m:t>p</m:t>
        </m:r>
        <m:r>
          <m:rPr>
            <m:sty m:val="p"/>
          </m:rPr>
          <m:t>&gt;</m:t>
        </m:r>
        <m:r>
          <m:t>0.99</m:t>
        </m:r>
      </m:oMath>
      <w:r>
        <w:t xml:space="preserve">; Table S2).</w:t>
      </w:r>
    </w:p>
    <w:bookmarkEnd w:id="14"/>
    <w:bookmarkStart w:id="23"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(23rd March to 19th December) prior to the widespread emergence of more transmissible variants and mass vaccination.</w:t>
      </w:r>
    </w:p>
    <w:bookmarkStart w:id="15"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(Figure 1):</w:t>
      </w:r>
    </w:p>
    <w:p>
      <w:pPr>
        <w:pStyle w:val="BodyText"/>
      </w:pPr>
      <m:oMathPara>
        <m:oMathParaPr>
          <m:jc m:val="center"/>
        </m:oMathParaPr>
        <m:oMath>
          <m:eqArr>
            <m:e>
              <m:sSub>
                <m:e>
                  <m:r>
                    <m:t>d</m:t>
                  </m:r>
                </m:e>
                <m:sub>
                  <m:r>
                    <m:t>p</m:t>
                  </m:r>
                </m:sub>
              </m:sSub>
              <m:r>
                <m:t>&amp;</m:t>
              </m:r>
              <m:r>
                <m:rPr>
                  <m:sty m:val="p"/>
                </m:rPr>
                <m:t>∼</m:t>
              </m:r>
              <m:sSub>
                <m:e>
                  <m:r>
                    <m:t>N</m:t>
                  </m:r>
                </m:e>
                <m:sub>
                  <m:r>
                    <m:rPr>
                      <m:sty m:val="p"/>
                    </m:rPr>
                    <m:t>[</m:t>
                  </m:r>
                  <m:r>
                    <m:t>1</m:t>
                  </m:r>
                  <m:r>
                    <m:rPr>
                      <m:sty m:val="p"/>
                    </m:rPr>
                    <m:t>,</m:t>
                  </m:r>
                  <m:r>
                    <m:t>14</m:t>
                  </m:r>
                  <m:r>
                    <m:rPr>
                      <m:sty m:val="p"/>
                    </m:rPr>
                    <m:t>]</m:t>
                  </m:r>
                </m:sub>
              </m:sSub>
              <m:r>
                <m:rPr>
                  <m:sty m:val="p"/>
                </m:rPr>
                <m:t>(</m:t>
              </m:r>
              <m:r>
                <m:t>2.0</m:t>
              </m:r>
              <m:r>
                <m:rPr>
                  <m:sty m:val="p"/>
                </m:rPr>
                <m:t>,</m:t>
              </m:r>
              <m:r>
                <m:t>13.4</m:t>
              </m:r>
              <m:r>
                <m:rPr>
                  <m:sty m:val="p"/>
                </m:rPr>
                <m:t>)</m:t>
              </m:r>
              <m:r>
                <m:rPr>
                  <m:sty m:val="p"/>
                </m:rPr>
                <m:t>,</m:t>
              </m:r>
            </m:e>
            <m:e>
              <m:sSub>
                <m:e>
                  <m:r>
                    <m:rPr>
                      <m:sty m:val="p"/>
                    </m:rPr>
                    <m:t>C</m:t>
                  </m:r>
                  <m:r>
                    <m:rPr>
                      <m:sty m:val="p"/>
                    </m:rPr>
                    <m:t>t</m:t>
                  </m:r>
                </m:e>
                <m:sub>
                  <m:r>
                    <m:t>p</m:t>
                  </m:r>
                </m:sub>
              </m:sSub>
              <m:r>
                <m:t>&amp;</m:t>
              </m:r>
              <m:r>
                <m:rPr>
                  <m:sty m:val="p"/>
                </m:rPr>
                <m:t>∼</m:t>
              </m:r>
              <m:sSub>
                <m:e>
                  <m:r>
                    <m:t>N</m:t>
                  </m:r>
                </m:e>
                <m:sub>
                  <m:r>
                    <m:rPr>
                      <m:sty m:val="p"/>
                    </m:rPr>
                    <m:t>[</m:t>
                  </m:r>
                  <m:r>
                    <m:t>0</m:t>
                  </m:r>
                  <m:r>
                    <m:rPr>
                      <m:sty m:val="p"/>
                    </m:rPr>
                    <m:t>,</m:t>
                  </m:r>
                  <m:r>
                    <m:t>40</m:t>
                  </m:r>
                  <m:r>
                    <m:rPr>
                      <m:sty m:val="p"/>
                    </m:rPr>
                    <m:t>]</m:t>
                  </m:r>
                </m:sub>
              </m:sSub>
              <m:r>
                <m:rPr>
                  <m:sty m:val="p"/>
                </m:rPr>
                <m:t>(</m:t>
              </m:r>
              <m:r>
                <m:t>20.2</m:t>
              </m:r>
              <m:r>
                <m:rPr>
                  <m:sty m:val="p"/>
                </m:rPr>
                <m:t>,</m:t>
              </m:r>
              <m:r>
                <m:t>19.5</m:t>
              </m:r>
              <m:r>
                <m:rPr>
                  <m:sty m:val="p"/>
                </m:rPr>
                <m:t>)</m:t>
              </m:r>
              <m:r>
                <m:rPr>
                  <m:sty m:val="p"/>
                </m:rPr>
                <m:t>,</m:t>
              </m:r>
            </m:e>
            <m:e>
              <m:sSub>
                <m:e>
                  <m:r>
                    <m:t>d</m:t>
                  </m:r>
                </m:e>
                <m:sub>
                  <m:r>
                    <m:t>r</m:t>
                  </m:r>
                </m:sub>
              </m:sSub>
              <m:r>
                <m:t>&amp;</m:t>
              </m:r>
              <m:r>
                <m:rPr>
                  <m:sty m:val="p"/>
                </m:rPr>
                <m:t>∼</m:t>
              </m:r>
              <m:sSub>
                <m:e>
                  <m:r>
                    <m:t>N</m:t>
                  </m:r>
                </m:e>
                <m:sub>
                  <m:r>
                    <m:rPr>
                      <m:sty m:val="p"/>
                    </m:rPr>
                    <m:t>[</m:t>
                  </m:r>
                  <m:r>
                    <m:t>1</m:t>
                  </m:r>
                  <m:r>
                    <m:rPr>
                      <m:sty m:val="p"/>
                    </m:rPr>
                    <m:t>,</m:t>
                  </m:r>
                  <m:r>
                    <m:t>30</m:t>
                  </m:r>
                  <m:r>
                    <m:rPr>
                      <m:sty m:val="p"/>
                    </m:rPr>
                    <m:t>]</m:t>
                  </m:r>
                </m:sub>
              </m:sSub>
              <m:r>
                <m:rPr>
                  <m:sty m:val="p"/>
                </m:rPr>
                <m:t>(</m:t>
              </m:r>
              <m:r>
                <m:t>6.3</m:t>
              </m:r>
              <m:r>
                <m:rPr>
                  <m:sty m:val="p"/>
                </m:rPr>
                <m:t>,</m:t>
              </m:r>
              <m:r>
                <m:t>6.8</m:t>
              </m:r>
              <m:r>
                <m:rPr>
                  <m:sty m:val="p"/>
                </m:rPr>
                <m:t>)</m:t>
              </m:r>
            </m:e>
          </m:eqArr>
        </m:oMath>
      </m:oMathPara>
    </w:p>
    <w:p>
      <w:pPr>
        <w:pStyle w:val="FirstParagraph"/>
      </w:pPr>
      <w:r>
        <w:t xml:space="preserve">where</w:t>
      </w:r>
      <w:r>
        <w:t xml:space="preserve"> </w:t>
      </w:r>
      <m:oMath>
        <m:sSub>
          <m:e>
            <m:r>
              <m:t>N</m:t>
            </m:r>
          </m:e>
          <m:sub>
            <m:r>
              <m:rPr>
                <m:sty m:val="p"/>
              </m:rPr>
              <m:t>[</m:t>
            </m:r>
            <m:r>
              <m:t>a</m:t>
            </m:r>
            <m:r>
              <m:rPr>
                <m:sty m:val="p"/>
              </m:rPr>
              <m:t>,</m:t>
            </m:r>
            <m:r>
              <m:t>b</m:t>
            </m:r>
            <m:r>
              <m:rPr>
                <m:sty m:val="p"/>
              </m:rPr>
              <m:t>]</m:t>
            </m:r>
          </m:sub>
        </m:sSub>
        <m:r>
          <m:rPr>
            <m:sty m:val="p"/>
          </m:rPr>
          <m:t>(</m:t>
        </m:r>
        <m:r>
          <m:t>μ</m:t>
        </m:r>
        <m:r>
          <m:rPr>
            <m:sty m:val="p"/>
          </m:rPr>
          <m:t>,</m:t>
        </m:r>
        <m:sSup>
          <m:e>
            <m:r>
              <m:t>σ</m:t>
            </m:r>
          </m:e>
          <m:sup>
            <m:r>
              <m:t>2</m:t>
            </m:r>
          </m:sup>
        </m:sSup>
        <m:r>
          <m:rPr>
            <m:sty m:val="p"/>
          </m:rPr>
          <m:t>)</m:t>
        </m:r>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r>
            <m:rPr>
              <m:sty m:val="p"/>
            </m:rPr>
            <m:t>(</m:t>
          </m:r>
          <m:r>
            <m:t>250</m:t>
          </m:r>
          <m:r>
            <m:rPr>
              <m:sty m:val="p"/>
            </m:rPr>
            <m:t>)</m:t>
          </m:r>
        </m:oMath>
      </m:oMathPara>
    </w:p>
    <w:p>
      <w:pPr>
        <w:pStyle w:val="FirstParagraph"/>
      </w:pPr>
      <w:r>
        <w:t xml:space="preserve">where m_conv=-3.60971 and b_conv=40.93733 are the slope and intercept of a linear regression of Ct value on log10-transformed RNA concentration from a standard curve.</w:t>
      </w:r>
    </w:p>
    <w:bookmarkEnd w:id="15"/>
    <w:bookmarkStart w:id="20"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(Figure 3B),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eqArr>
            <m:e>
              <m:r>
                <m:rPr>
                  <m:sty m:val="p"/>
                </m:rPr>
                <m:t>c</m:t>
              </m:r>
              <m:r>
                <m:rPr>
                  <m:sty m:val="p"/>
                </m:rPr>
                <m:t>u</m:t>
              </m:r>
              <m:r>
                <m:rPr>
                  <m:sty m:val="p"/>
                </m:rPr>
                <m:t>l</m:t>
              </m:r>
              <m:r>
                <m:rPr>
                  <m:sty m:val="p"/>
                </m:rPr>
                <m:t>t</m:t>
              </m:r>
              <m:r>
                <m:rPr>
                  <m:sty m:val="p"/>
                </m:rPr>
                <m:t>u</m:t>
              </m:r>
              <m:r>
                <m:rPr>
                  <m:sty m:val="p"/>
                </m:rPr>
                <m:t>r</m:t>
              </m:r>
              <m:r>
                <m:rPr>
                  <m:sty m:val="p"/>
                </m:rPr>
                <m:t>e</m:t>
              </m:r>
              <m:r>
                <m:t>&amp;</m:t>
              </m:r>
              <m:r>
                <m:rPr>
                  <m:sty m:val="p"/>
                </m:rPr>
                <m:t>∼</m:t>
              </m:r>
              <m:r>
                <m:rPr>
                  <m:sty m:val="p"/>
                </m:rPr>
                <m:t>Bernoulli</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e>
            <m:e>
              <m:r>
                <m:rPr>
                  <m:sty m:val="p"/>
                </m:rPr>
                <m:t>logit</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r>
                <m:t>&amp;</m:t>
              </m:r>
              <m:r>
                <m:rPr>
                  <m:sty m:val="p"/>
                </m:rPr>
                <m:t>=</m:t>
              </m:r>
              <m:sSub>
                <m:e>
                  <m:r>
                    <m:t>β</m:t>
                  </m:r>
                </m:e>
                <m:sub>
                  <m:r>
                    <m:t>0</m:t>
                  </m:r>
                </m:sub>
              </m:sSub>
              <m:r>
                <m:rPr>
                  <m:sty m:val="p"/>
                </m:rPr>
                <m:t>+</m:t>
              </m:r>
              <m:sSub>
                <m:e>
                  <m:r>
                    <m:t>β</m:t>
                  </m:r>
                </m:e>
                <m:sub>
                  <m:r>
                    <m:t>1</m:t>
                  </m:r>
                </m:sub>
              </m:sSub>
              <m:r>
                <m:t> </m:t>
              </m:r>
              <m:r>
                <m:rPr>
                  <m:sty m:val="p"/>
                </m:rPr>
                <m:t>v</m:t>
              </m:r>
              <m:r>
                <m:rPr>
                  <m:sty m:val="p"/>
                </m:rPr>
                <m:t>l</m:t>
              </m:r>
            </m:e>
          </m:eqArr>
        </m:oMath>
      </m:oMathPara>
    </w:p>
    <w:p>
      <w:pPr>
        <w:pStyle w:val="FirstParagraph"/>
      </w:pPr>
      <w:r>
        <w:t xml:space="preserve">where culture 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(Figure 3C).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r>
          <m:rPr>
            <m:sty m:val="p"/>
          </m:rPr>
          <m:t>=</m:t>
        </m:r>
        <m:r>
          <m:rPr>
            <m:sty m:val="p"/>
          </m:rPr>
          <m:t>(</m:t>
        </m:r>
        <m:r>
          <m:rPr>
            <m:sty m:val="p"/>
          </m:rPr>
          <m:t>−</m:t>
        </m:r>
        <m:r>
          <m:t>14.8</m:t>
        </m:r>
        <m:r>
          <m:rPr>
            <m:sty m:val="p"/>
          </m:rPr>
          <m:t>,</m:t>
        </m:r>
        <m:r>
          <m:t>2.1</m:t>
        </m:r>
        <m:r>
          <m:rPr>
            <m:sty m:val="p"/>
          </m:rPr>
          <m:t>)</m:t>
        </m:r>
      </m:oMath>
      <w:r>
        <w:t xml:space="preserve">:</w:t>
      </w:r>
    </w:p>
    <w:p>
      <w:pPr>
        <w:pStyle w:val="BodyText"/>
      </w:pPr>
      <m:oMathPara>
        <m:oMathParaPr>
          <m:jc m:val="center"/>
        </m:oMathParaPr>
        <m:oMath>
          <m:r>
            <m:rPr>
              <m:sty m:val="b"/>
            </m:rPr>
            <m:t>β</m:t>
          </m:r>
          <m:r>
            <m:rPr>
              <m:sty m:val="p"/>
            </m:rPr>
            <m:t>∼</m:t>
          </m:r>
          <m:r>
            <m:rPr>
              <m:scr m:val="script"/>
              <m:sty m:val="p"/>
            </m:rPr>
            <m:t>N</m:t>
          </m:r>
          <m:r>
            <m:rPr>
              <m:sty m:val="p"/>
            </m:rPr>
            <m:t>(</m:t>
          </m:r>
          <m:acc>
            <m:accPr>
              <m:chr m:val="̂"/>
            </m:accPr>
            <m:e>
              <m:r>
                <m:rPr>
                  <m:sty m:val="b"/>
                </m:rPr>
                <m:t>β</m:t>
              </m:r>
            </m:e>
          </m:acc>
          <m:r>
            <m:rPr>
              <m:sty m:val="p"/>
            </m:rPr>
            <m:t>,</m:t>
          </m:r>
          <m:r>
            <m:rPr>
              <m:sty m:val="p"/>
            </m:rPr>
            <m:t>Σ</m:t>
          </m:r>
          <m:r>
            <m:rPr>
              <m:sty m:val="p"/>
            </m:rPr>
            <m:t>)</m:t>
          </m:r>
        </m:oMath>
      </m:oMathPara>
    </w:p>
    <w:p>
      <w:pPr>
        <w:pStyle w:val="FirstParagraph"/>
      </w:pPr>
      <w:r>
        <w:t xml:space="preserve">where</w:t>
      </w:r>
      <w:r>
        <w:t xml:space="preserve"> </w:t>
      </w:r>
      <m:oMath>
        <m:r>
          <m:rPr>
            <m:sty m:val="p"/>
          </m:rP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viral culture positivity as our proxy for infectiousness, because it indicates the presence of replication-competent virus and is therefore believed to provide a better indicator of transmission potential than Ct values from PCR measurements</w:t>
      </w:r>
      <w:r>
        <w:t xml:space="preserve"> </w:t>
      </w:r>
      <w:r>
        <w:t xml:space="preserve">[15]</w:t>
      </w:r>
      <w:r>
        <w:t xml:space="preserve">. It also allows us to make use of empirical relationships linking viral load, viral culture positivity, and test detection: (i) viral load determines the probability of culturing viable virus, with the logistic relationship fitted directly from data in Pickering et al.</w:t>
      </w:r>
      <w:r>
        <w:t xml:space="preserve"> </w:t>
      </w:r>
      <w:r>
        <w:t xml:space="preserve">[14]</w:t>
      </w:r>
      <w:r>
        <w:t xml:space="preserve"> </w:t>
      </w:r>
      <w:r>
        <w:t xml:space="preserve">(Figure 3B); and (ii)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fig-diagram"/>
          <w:p>
            <w:pPr>
              <w:pStyle w:val="Compact"/>
              <w:jc w:val="center"/>
            </w:pPr>
            <w:r>
              <w:drawing>
                <wp:inline>
                  <wp:extent cx="5334000" cy="3291397"/>
                  <wp:effectExtent b="0" l="0" r="0" t="0"/>
                  <wp:docPr descr="" title="" id="17" name="Picture"/>
                  <a:graphic>
                    <a:graphicData uri="http://schemas.openxmlformats.org/drawingml/2006/picture">
                      <pic:pic>
                        <pic:nvPicPr>
                          <pic:cNvPr descr="../results/manuscript_figures/fig1_diagram.png" id="18" name="Picture"/>
                          <pic:cNvPicPr>
                            <a:picLocks noChangeArrowheads="1" noChangeAspect="1"/>
                          </pic:cNvPicPr>
                        </pic:nvPicPr>
                        <pic:blipFill>
                          <a:blip r:embed="rId16"/>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model. 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19"/>
        </w:tc>
      </w:tr>
    </w:tbl>
    <w:bookmarkEnd w:id="20"/>
    <w:bookmarkStart w:id="21"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t>H</m:t>
            </m:r>
            <m:r>
              <m:t>H</m:t>
            </m:r>
            <m:r>
              <m:rPr>
                <m:sty m:val="p"/>
              </m:rPr>
              <m:t>,</m:t>
            </m:r>
            <m:r>
              <m:t>i</m:t>
            </m:r>
          </m:sub>
        </m:sSub>
      </m:oMath>
      <w:r>
        <w:t xml:space="preserve"> </w:t>
      </w:r>
      <w:r>
        <w:t xml:space="preserve">and daily non-household contacts</w:t>
      </w:r>
      <w:r>
        <w:t xml:space="preserve"> </w:t>
      </w:r>
      <m:oMath>
        <m:sSub>
          <m:e>
            <m:r>
              <m:t>N</m:t>
            </m:r>
          </m:e>
          <m:sub>
            <m:r>
              <m:t>N</m:t>
            </m:r>
            <m:r>
              <m:t>H</m:t>
            </m:r>
            <m: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t>H</m:t>
            </m:r>
            <m: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t>N</m:t>
            </m:r>
            <m:r>
              <m:t>H</m:t>
            </m:r>
            <m:r>
              <m:t>H</m:t>
            </m:r>
            <m:r>
              <m:rPr>
                <m:sty m:val="p"/>
              </m:rPr>
              <m:t>,</m:t>
            </m:r>
            <m:r>
              <m:t>i</m:t>
            </m:r>
            <m:r>
              <m:rPr>
                <m:sty m:val="p"/>
              </m:rPr>
              <m:t>,</m:t>
            </m:r>
            <m:r>
              <m:t>j</m:t>
            </m:r>
            <m:r>
              <m:rPr>
                <m:sty m:val="p"/>
              </m:rPr>
              <m:t>,</m:t>
            </m:r>
            <m:r>
              <m:t>t</m:t>
            </m:r>
          </m:sub>
        </m:sSub>
      </m:oMath>
      <w:r>
        <w:t xml:space="preserve">, defined as the proportion of a 24-hour period that the contact lasted (Figure S1). For the pandemic time periods the duration was sampled from the contact durations for the same survey participant as the contact numbers, where these were available. This ensured that correlation between number of contacts and contact duration was maintained (Figure S2).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21"/>
    <w:bookmarkStart w:id="22" w:name="infections"/>
    <w:p>
      <w:pPr>
        <w:pStyle w:val="Heading4"/>
      </w:pPr>
      <w:r>
        <w:t xml:space="preserve">Infections</w:t>
      </w:r>
    </w:p>
    <w:p>
      <w:pPr>
        <w:pStyle w:val="FirstParagraph"/>
      </w:pPr>
      <w:r>
        <w:t xml:space="preserve">The infection process for contact between index case</w:t>
      </w:r>
      <w:r>
        <w:t xml:space="preserve"> </w:t>
      </w:r>
      <m:oMath>
        <m:r>
          <m:t>i</m:t>
        </m:r>
      </m:oMath>
      <w:r>
        <w:t xml:space="preserve"> </w:t>
      </w:r>
      <w:r>
        <w:t xml:space="preserve">and their contact</w:t>
      </w:r>
      <w:r>
        <w:t xml:space="preserve"> </w:t>
      </w:r>
      <m:oMath>
        <m:r>
          <m:t>j</m:t>
        </m:r>
      </m:oMath>
      <w:r>
        <w:t xml:space="preserve"> </w:t>
      </w:r>
      <w:r>
        <w:t xml:space="preserve">was modelled as Bernoulli for both household and non-household infections</w:t>
      </w:r>
    </w:p>
    <w:p>
      <w:pPr>
        <w:pStyle w:val="BodyText"/>
      </w:pPr>
      <m:oMathPara>
        <m:oMathParaPr>
          <m:jc m:val="center"/>
        </m:oMathParaPr>
        <m:oMath>
          <m:eqArr>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t>H</m:t>
                  </m:r>
                  <m:r>
                    <m:t>H</m:t>
                  </m:r>
                  <m:r>
                    <m:rPr>
                      <m:sty m:val="p"/>
                    </m:rPr>
                    <m:t>,</m:t>
                  </m:r>
                  <m:r>
                    <m:t>i</m:t>
                  </m:r>
                  <m:r>
                    <m:rPr>
                      <m:sty m:val="p"/>
                    </m:rPr>
                    <m:t>,</m:t>
                  </m:r>
                  <m:r>
                    <m:t>j</m:t>
                  </m:r>
                  <m:r>
                    <m:rPr>
                      <m:sty m:val="p"/>
                    </m:rPr>
                    <m:t>,</m:t>
                  </m:r>
                  <m:r>
                    <m:t>t</m:t>
                  </m:r>
                </m:sub>
              </m:sSub>
              <m:r>
                <m:rPr>
                  <m:sty m:val="p"/>
                </m:rPr>
                <m:t>)</m:t>
              </m:r>
            </m:e>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t>N</m:t>
                  </m:r>
                  <m:r>
                    <m:t>H</m:t>
                  </m:r>
                  <m:r>
                    <m:t>H</m:t>
                  </m:r>
                  <m:r>
                    <m:rPr>
                      <m:sty m:val="p"/>
                    </m:rPr>
                    <m:t>,</m:t>
                  </m:r>
                  <m:r>
                    <m:t>i</m:t>
                  </m:r>
                  <m:r>
                    <m:rPr>
                      <m:sty m:val="p"/>
                    </m:rPr>
                    <m:t>,</m:t>
                  </m:r>
                  <m:r>
                    <m:t>j</m:t>
                  </m:r>
                  <m:r>
                    <m:rPr>
                      <m:sty m:val="p"/>
                    </m:rPr>
                    <m:t>,</m:t>
                  </m:r>
                  <m:r>
                    <m:t>t</m:t>
                  </m:r>
                </m:sub>
              </m:sSub>
              <m:r>
                <m:rPr>
                  <m:sty m:val="p"/>
                </m:rPr>
                <m:t>)</m:t>
              </m:r>
            </m:e>
          </m:eqArr>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t>X</m:t>
        </m:r>
      </m:oMath>
      <w:r>
        <w:t xml:space="preserve">,</w:t>
      </w:r>
      <w:r>
        <w:t xml:space="preserve"> </w:t>
      </w:r>
      <m:oMath>
        <m:sSub>
          <m:e>
            <m:r>
              <m:t>p</m:t>
            </m:r>
          </m:e>
          <m:sub>
            <m:r>
              <m:t>X</m:t>
            </m:r>
            <m:r>
              <m:rPr>
                <m:sty m:val="p"/>
              </m:rPr>
              <m:t>,</m:t>
            </m:r>
            <m:r>
              <m:t>i</m:t>
            </m:r>
            <m:r>
              <m:rPr>
                <m:sty m:val="p"/>
              </m:rPr>
              <m:t>,</m:t>
            </m:r>
            <m:r>
              <m:t>j</m:t>
            </m:r>
            <m:r>
              <m:rPr>
                <m:sty m:val="p"/>
              </m:rPr>
              <m:t>,</m:t>
            </m:r>
            <m:r>
              <m:t>t</m:t>
            </m:r>
          </m:sub>
        </m:sSub>
      </m:oMath>
      <w:r>
        <w:t xml:space="preserve">, where</w:t>
      </w:r>
      <w:r>
        <w:t xml:space="preserve"> </w:t>
      </w:r>
      <m:oMath>
        <m:r>
          <m:t>X</m:t>
        </m:r>
        <m:r>
          <m:rPr>
            <m:sty m:val="p"/>
          </m:rPr>
          <m:t>∈</m:t>
        </m:r>
        <m:r>
          <m:rPr>
            <m:sty m:val="p"/>
          </m:rPr>
          <m:t>{</m:t>
        </m:r>
        <m:r>
          <m:t>H</m:t>
        </m:r>
        <m:r>
          <m:t>H</m:t>
        </m:r>
        <m:r>
          <m:rPr>
            <m:sty m:val="p"/>
          </m:rPr>
          <m:t>,</m:t>
        </m:r>
        <m:r>
          <m:t>N</m:t>
        </m:r>
        <m:r>
          <m:t>H</m:t>
        </m:r>
        <m:r>
          <m:t>H</m:t>
        </m:r>
        <m:r>
          <m:rPr>
            <m:sty m:val="p"/>
          </m:rPr>
          <m:t>}</m:t>
        </m:r>
      </m:oMath>
      <w:r>
        <w:t xml:space="preserve">, given by</w:t>
      </w:r>
    </w:p>
    <w:p>
      <w:pPr>
        <w:pStyle w:val="BodyText"/>
      </w:pPr>
      <m:oMathPara>
        <m:oMathParaPr>
          <m:jc m:val="center"/>
        </m:oMathParaPr>
        <m:oMath>
          <m:sSub>
            <m:e>
              <m:r>
                <m:t>p</m:t>
              </m:r>
            </m:e>
            <m:sub>
              <m: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r>
        <w:t xml:space="preserve"> </w:t>
      </w:r>
      <w:r>
        <w:t xml:space="preserve">The number of secondary infections for index case</w:t>
      </w:r>
      <w:r>
        <w:t xml:space="preserve"> </w:t>
      </w:r>
      <m:oMath>
        <m:r>
          <m:t>i</m:t>
        </m:r>
      </m:oMath>
      <w:r>
        <w:t xml:space="preserve"> </w:t>
      </w:r>
      <w:r>
        <w:t xml:space="preserve">(i.e. their individual-level reproduction number),</w:t>
      </w:r>
      <w:r>
        <w:t xml:space="preserve"> </w:t>
      </w:r>
      <m:oMath>
        <m:sSub>
          <m:e>
            <m:r>
              <m:t>R</m:t>
            </m:r>
          </m:e>
          <m:sub>
            <m:r>
              <m:t>i</m:t>
            </m:r>
          </m:sub>
        </m:sSub>
      </m:oMath>
      <w:r>
        <w:t xml:space="preserve">,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t>H</m:t>
                          </m:r>
                          <m:r>
                            <m:t>H</m:t>
                          </m:r>
                          <m:r>
                            <m:rPr>
                              <m:sty m:val="p"/>
                            </m:rPr>
                            <m:t>,</m:t>
                          </m:r>
                          <m:r>
                            <m:t>i</m:t>
                          </m:r>
                        </m:sub>
                      </m:sSub>
                    </m:sup>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t>N</m:t>
                          </m:r>
                          <m:r>
                            <m:t>H</m:t>
                          </m:r>
                          <m:r>
                            <m:t>H</m:t>
                          </m:r>
                          <m:r>
                            <m:rPr>
                              <m:sty m:val="p"/>
                            </m:rPr>
                            <m:t>,</m:t>
                          </m:r>
                          <m:r>
                            <m:t>i</m:t>
                          </m:r>
                          <m:r>
                            <m:rPr>
                              <m:sty m:val="p"/>
                            </m:rPr>
                            <m:t>,</m:t>
                          </m:r>
                          <m:r>
                            <m:t>t</m:t>
                          </m:r>
                        </m:sub>
                      </m:sSub>
                    </m:sup>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e>
                  </m:nary>
                </m:e>
              </m:d>
            </m:e>
          </m:nary>
        </m:oMath>
      </m:oMathPara>
    </w:p>
    <w:p>
      <w:pPr>
        <w:pStyle w:val="FirstParagraph"/>
      </w:pPr>
      <w:r>
        <w:t xml:space="preserve">where</w:t>
      </w:r>
      <w:r>
        <w:t xml:space="preserve"> </w:t>
      </w:r>
      <m:oMath>
        <m:sSub>
          <m:e>
            <m:r>
              <m:t>T</m:t>
            </m:r>
          </m:e>
          <m:sub>
            <m:r>
              <m:t>i</m:t>
            </m:r>
          </m:sub>
        </m:sSub>
      </m:oMath>
      <w:r>
        <w:t xml:space="preserve"> </w:t>
      </w:r>
      <w:r>
        <w:t xml:space="preserve">is index case</w:t>
      </w:r>
      <w:r>
        <w:t xml:space="preserve"> </w:t>
      </w:r>
      <m:oMath>
        <m:r>
          <m:t>i</m:t>
        </m:r>
      </m:oMath>
      <w:r>
        <w:t xml:space="preserve">’s duration of infection (defined as having infection detectable by PCR).</w:t>
      </w:r>
      <w:r>
        <w:t xml:space="preserve"> </w:t>
      </w:r>
      <w:r>
        <w:t xml:space="preserve">We then estimated the mean,</w:t>
      </w:r>
      <w:r>
        <w:t xml:space="preserve"> </w:t>
      </w:r>
      <m:oMath>
        <m:r>
          <m:t>R</m:t>
        </m:r>
      </m:oMath>
      <w:r>
        <w:t xml:space="preserve">, and overdispersion,</w:t>
      </w:r>
      <w:r>
        <w:t xml:space="preserve"> </w:t>
      </w:r>
      <m:oMath>
        <m:r>
          <m:t>k</m:t>
        </m:r>
      </m:oMath>
      <w:r>
        <w:t xml:space="preserve">, of the number of secondary infections by fitting a negative binomial distribution to the</w:t>
      </w:r>
      <w:r>
        <w:t xml:space="preserve"> </w:t>
      </w:r>
      <m:oMath>
        <m:sSub>
          <m:e>
            <m:r>
              <m:t>R</m:t>
            </m:r>
          </m:e>
          <m:sub>
            <m:r>
              <m:t>i</m:t>
            </m:r>
          </m:sub>
        </m:sSub>
      </m:oMath>
      <w:r>
        <w:t xml:space="preserve"> </w:t>
      </w:r>
      <w:r>
        <w:t xml:space="preserve">values across all index cases. 95% percentile bootstrap confidence intervals (CIs) for the</w:t>
      </w:r>
      <w:r>
        <w:t xml:space="preserve"> </w:t>
      </w:r>
      <m:oMath>
        <m:r>
          <m:t>R</m:t>
        </m:r>
      </m:oMath>
      <w:r>
        <w:t xml:space="preserve"> </w:t>
      </w:r>
      <w:r>
        <w:t xml:space="preserve">and</w:t>
      </w:r>
      <w:r>
        <w:t xml:space="preserve"> </w:t>
      </w:r>
      <m:oMath>
        <m:r>
          <m:t>k</m:t>
        </m:r>
      </m:oMath>
      <w:r>
        <w:t xml:space="preserve"> </w:t>
      </w:r>
      <w:r>
        <w:t xml:space="preserve">estimates were calculated by bootstrapping the simulated numbers of secondary infections with 1000 bootstrap samples, calculating</w:t>
      </w:r>
      <w:r>
        <w:t xml:space="preserve"> </w:t>
      </w:r>
      <m:oMath>
        <m:r>
          <m:t>R</m:t>
        </m:r>
      </m:oMath>
      <w:r>
        <w:t xml:space="preserve"> </w:t>
      </w:r>
      <w:r>
        <w:t xml:space="preserve">and</w:t>
      </w:r>
      <w:r>
        <w:t xml:space="preserve"> </w:t>
      </w:r>
      <m:oMath>
        <m:r>
          <m:t>k</m:t>
        </m:r>
      </m:oMath>
      <w:r>
        <w:t xml:space="preserve"> </w:t>
      </w:r>
      <w:r>
        <w:t xml:space="preserve">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0.70 and 4.7.</w:t>
      </w:r>
    </w:p>
    <w:bookmarkEnd w:id="22"/>
    <w:bookmarkEnd w:id="23"/>
    <w:bookmarkStart w:id="24"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 “homogeneous” and “heterogeneous” contact rates and viral load trajectories. In the “homogeneous” cases, contacts were Poisson distributed with mean equal to the mean daily contacts for each time period and all individuals had the median viral load trajectory (i.e. the trajectory with the median proliferation and clearance durations and median peak Ct value), while in the “heterogeneous” cases, contacts and viral load trajectories were allowed to vary according to their full distributions.</w:t>
      </w:r>
    </w:p>
    <w:p>
      <w:pPr>
        <w:pStyle w:val="BodyText"/>
      </w:pPr>
      <w:r>
        <w:t xml:space="preserve">We performed a sensitivity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24"/>
    <w:bookmarkStart w:id="25"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eqArr>
            <m:e>
              <m:r>
                <m:rPr>
                  <m:sty m:val="p"/>
                </m:rPr>
                <m:t>t</m:t>
              </m:r>
              <m:r>
                <m:rPr>
                  <m:sty m:val="p"/>
                </m:rPr>
                <m:t>e</m:t>
              </m:r>
              <m:r>
                <m:rPr>
                  <m:sty m:val="p"/>
                </m:rPr>
                <m:t>s</m:t>
              </m:r>
              <m:r>
                <m:rPr>
                  <m:sty m:val="p"/>
                </m:rPr>
                <m:t>t</m:t>
              </m:r>
              <m:r>
                <m:t>&amp;</m:t>
              </m:r>
              <m:r>
                <m:rPr>
                  <m:sty m:val="p"/>
                </m:rPr>
                <m:t>∼</m:t>
              </m:r>
              <m:r>
                <m:rPr>
                  <m:sty m:val="p"/>
                </m:rPr>
                <m:t>Bernoulli</m:t>
              </m:r>
              <m:r>
                <m:rPr>
                  <m:sty m:val="p"/>
                </m:rPr>
                <m:t>(</m:t>
              </m:r>
              <m:sSub>
                <m:e>
                  <m:r>
                    <m:t>p</m:t>
                  </m:r>
                </m:e>
                <m:sub>
                  <m:r>
                    <m:rPr>
                      <m:sty m:val="p"/>
                    </m:rPr>
                    <m:t>t</m:t>
                  </m:r>
                  <m:r>
                    <m:rPr>
                      <m:sty m:val="p"/>
                    </m:rPr>
                    <m:t>e</m:t>
                  </m:r>
                  <m:r>
                    <m:rPr>
                      <m:sty m:val="p"/>
                    </m:rPr>
                    <m:t>s</m:t>
                  </m:r>
                  <m:r>
                    <m:rPr>
                      <m:sty m:val="p"/>
                    </m:rPr>
                    <m:t>t</m:t>
                  </m:r>
                </m:sub>
              </m:sSub>
              <m:r>
                <m:rPr>
                  <m:sty m:val="p"/>
                </m:rPr>
                <m:t>)</m:t>
              </m:r>
            </m:e>
            <m:e>
              <m:r>
                <m:rPr>
                  <m:sty m:val="p"/>
                </m:rPr>
                <m:t>logit</m:t>
              </m:r>
              <m:r>
                <m:rPr>
                  <m:sty m:val="p"/>
                </m:rPr>
                <m:t>(</m:t>
              </m:r>
              <m:sSub>
                <m:e>
                  <m:r>
                    <m:t>p</m:t>
                  </m:r>
                </m:e>
                <m:sub>
                  <m:r>
                    <m:rPr>
                      <m:sty m:val="p"/>
                    </m:rPr>
                    <m:t>t</m:t>
                  </m:r>
                  <m:r>
                    <m:rPr>
                      <m:sty m:val="p"/>
                    </m:rPr>
                    <m:t>e</m:t>
                  </m:r>
                  <m:r>
                    <m:rPr>
                      <m:sty m:val="p"/>
                    </m:rPr>
                    <m:t>s</m:t>
                  </m:r>
                  <m:r>
                    <m:rPr>
                      <m:sty m:val="p"/>
                    </m:rPr>
                    <m:t>t</m:t>
                  </m:r>
                </m:sub>
              </m:sSub>
              <m:r>
                <m:rPr>
                  <m:sty m:val="p"/>
                </m:rPr>
                <m:t>)</m:t>
              </m:r>
              <m:r>
                <m:t>&amp;</m:t>
              </m:r>
              <m:r>
                <m:rPr>
                  <m:sty m:val="p"/>
                </m:rPr>
                <m:t>=</m:t>
              </m:r>
              <m:sSub>
                <m:e>
                  <m:r>
                    <m:t>α</m:t>
                  </m:r>
                </m:e>
                <m:sub>
                  <m:r>
                    <m:t>0</m:t>
                  </m:r>
                </m:sub>
              </m:sSub>
              <m:r>
                <m:rPr>
                  <m:sty m:val="p"/>
                </m:rPr>
                <m:t>+</m:t>
              </m:r>
              <m:sSub>
                <m:e>
                  <m:r>
                    <m:t>α</m:t>
                  </m:r>
                </m:e>
                <m:sub>
                  <m:r>
                    <m:t>1</m:t>
                  </m:r>
                </m:sub>
              </m:sSub>
              <m:r>
                <m:t> </m:t>
              </m:r>
              <m:r>
                <m:rPr>
                  <m:sty m:val="p"/>
                </m:rPr>
                <m:t>v</m:t>
              </m:r>
              <m:r>
                <m:rPr>
                  <m:sty m:val="p"/>
                </m:rPr>
                <m:t>l</m:t>
              </m:r>
            </m:e>
          </m:eqArr>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25"/>
    <w:bookmarkEnd w:id="26"/>
    <w:bookmarkStart w:id="53" w:name="results"/>
    <w:p>
      <w:pPr>
        <w:pStyle w:val="Heading2"/>
      </w:pPr>
      <w:r>
        <w:t xml:space="preserve">Results</w:t>
      </w:r>
    </w:p>
    <w:bookmarkStart w:id="32" w:name="X9b714365ed5b38b26107b1c0144f5b2f891c052"/>
    <w:p>
      <w:pPr>
        <w:pStyle w:val="Heading3"/>
      </w:pPr>
      <w:r>
        <w:t xml:space="preserve">Changes in the distribution of social contacts with changes in the intensity of restrictions</w:t>
      </w:r>
    </w:p>
    <w:p>
      <w:pPr>
        <w:pStyle w:val="FirstParagraph"/>
      </w:pPr>
      <w:r>
        <w:t xml:space="preserve">The age distribution of all participants in the BBC Pandemic survey and of the participants in each of the nine periods of the CoMix survey is shown in Figure S3. Relative to the mid-2020 age distribution of the UK population, children and older adults (70+ years) are under-represented in the BBC Pandemic data. The age distribution of CoMix participants is representative of the general population (with slight under-representation of children</w:t>
      </w:r>
      <w:r>
        <w:t xml:space="preserve"> </w:t>
      </w:r>
      <m:oMath>
        <m:r>
          <m:rPr>
            <m:sty m:val="p"/>
          </m:rPr>
          <m:t>≤</m:t>
        </m:r>
      </m:oMath>
      <w:r>
        <w:t xml:space="preserve"> </w:t>
      </w:r>
      <w:r>
        <w:t xml:space="preserve">4 years and over-representation of adults aged 50-69 years) and remains fairly stable across the different time periods.</w:t>
      </w:r>
    </w:p>
    <w:p>
      <w:pPr>
        <w:pStyle w:val="BodyText"/>
      </w:pPr>
      <w:r>
        <w:t xml:space="preserve">Figure 2A and Table 1 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30" w:name="fig-contacts"/>
          <w:p>
            <w:pPr>
              <w:pStyle w:val="Compact"/>
              <w:jc w:val="center"/>
            </w:pPr>
            <w:r>
              <w:drawing>
                <wp:inline>
                  <wp:extent cx="5334000" cy="8128972"/>
                  <wp:effectExtent b="0" l="0" r="0" t="0"/>
                  <wp:docPr descr="" title="" id="28" name="Picture"/>
                  <a:graphic>
                    <a:graphicData uri="http://schemas.openxmlformats.org/drawingml/2006/picture">
                      <pic:pic>
                        <pic:nvPicPr>
                          <pic:cNvPr descr="../results/manuscript_figures/fig2_contacts.png" id="29" name="Picture"/>
                          <pic:cNvPicPr>
                            <a:picLocks noChangeArrowheads="1" noChangeAspect="1"/>
                          </pic:cNvPicPr>
                        </pic:nvPicPr>
                        <pic:blipFill>
                          <a:blip r:embed="rId27"/>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Changes in the distribution of social contacts in the UK from pre-pandemic to May 2021. 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w:t>
            </w:r>
            <w:r>
              <w:t xml:space="preserve"> </w:t>
            </w:r>
            <m:oMath>
              <m:r>
                <m:t>k</m:t>
              </m:r>
            </m:oMath>
            <w:r>
              <w:t xml:space="preserve">,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 See Figure S4 for the BBC Pandemic contact distribution with an imputed heavier tail, which is used to perform a sensitivity analysis.</w:t>
            </w:r>
          </w:p>
          <w:bookmarkEnd w:id="30"/>
        </w:tc>
      </w:tr>
    </w:tbl>
    <w:tbl>
      <w:tblPr>
        <w:tblStyle w:val="Table"/>
        <w:tblW w:type="pct" w:w="5000"/>
        <w:tblLayout w:type="fixed"/>
        <w:tblLook w:firstRow="0" w:lastRow="0" w:firstColumn="0" w:lastColumn="0" w:noHBand="0" w:noVBand="0" w:val="0000"/>
      </w:tblPr>
      <w:tblGrid>
        <w:gridCol w:w="7920"/>
      </w:tblGrid>
      <w:tr>
        <w:tc>
          <w:tcPr/>
          <w:bookmarkStart w:id="31"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469"/>
              <w:gridCol w:w="702"/>
              <w:gridCol w:w="702"/>
              <w:gridCol w:w="383"/>
              <w:gridCol w:w="702"/>
              <w:gridCol w:w="766"/>
              <w:gridCol w:w="766"/>
              <w:gridCol w:w="766"/>
              <w:gridCol w:w="830"/>
              <w:gridCol w:w="830"/>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1st lockdown</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15971</w:t>
                  </w:r>
                </w:p>
              </w:tc>
              <w:tc>
                <w:tcPr/>
                <w:p>
                  <w:pPr>
                    <w:pStyle w:val="Compact"/>
                    <w:jc w:val="right"/>
                    <w:jc w:val="center"/>
                  </w:pPr>
                  <w:r>
                    <w:t xml:space="preserve">6.5</w:t>
                  </w:r>
                </w:p>
              </w:tc>
              <w:tc>
                <w:tcPr/>
                <w:p>
                  <w:pPr>
                    <w:pStyle w:val="Compact"/>
                    <w:jc w:val="right"/>
                    <w:jc w:val="center"/>
                  </w:pPr>
                  <w:r>
                    <w:t xml:space="preserve">1.5</w:t>
                  </w:r>
                </w:p>
              </w:tc>
              <w:tc>
                <w:tcPr/>
                <w:p>
                  <w:pPr>
                    <w:pStyle w:val="Compact"/>
                    <w:jc w:val="right"/>
                    <w:jc w:val="center"/>
                  </w:pPr>
                  <w:r>
                    <w:t xml:space="preserve">0.4</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1st lockdown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10764</w:t>
                  </w:r>
                </w:p>
              </w:tc>
              <w:tc>
                <w:tcPr/>
                <w:p>
                  <w:pPr>
                    <w:pStyle w:val="Compact"/>
                    <w:jc w:val="right"/>
                    <w:jc w:val="center"/>
                  </w:pPr>
                  <w:r>
                    <w:t xml:space="preserve">8.5</w:t>
                  </w:r>
                </w:p>
              </w:tc>
              <w:tc>
                <w:tcPr/>
                <w:p>
                  <w:pPr>
                    <w:pStyle w:val="Compact"/>
                    <w:jc w:val="right"/>
                    <w:jc w:val="center"/>
                  </w:pPr>
                  <w:r>
                    <w:t xml:space="preserve">3.3</w:t>
                  </w:r>
                </w:p>
              </w:tc>
              <w:tc>
                <w:tcPr/>
                <w:p>
                  <w:pPr>
                    <w:pStyle w:val="Compact"/>
                    <w:jc w:val="right"/>
                    <w:jc w:val="center"/>
                  </w:pPr>
                  <w:r>
                    <w:t xml:space="preserve">1.6</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15547</w:t>
                  </w:r>
                </w:p>
              </w:tc>
              <w:tc>
                <w:tcPr/>
                <w:p>
                  <w:pPr>
                    <w:pStyle w:val="Compact"/>
                    <w:jc w:val="right"/>
                    <w:jc w:val="center"/>
                  </w:pPr>
                  <w:r>
                    <w:t xml:space="preserve">17.0</w:t>
                  </w:r>
                </w:p>
              </w:tc>
              <w:tc>
                <w:tcPr/>
                <w:p>
                  <w:pPr>
                    <w:pStyle w:val="Compact"/>
                    <w:jc w:val="right"/>
                    <w:jc w:val="center"/>
                  </w:pPr>
                  <w:r>
                    <w:t xml:space="preserve">6.2</w:t>
                  </w:r>
                </w:p>
              </w:tc>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21031</w:t>
                  </w:r>
                </w:p>
              </w:tc>
              <w:tc>
                <w:tcPr/>
                <w:p>
                  <w:pPr>
                    <w:pStyle w:val="Compact"/>
                    <w:jc w:val="right"/>
                    <w:jc w:val="center"/>
                  </w:pPr>
                  <w:r>
                    <w:t xml:space="preserve">15.9</w:t>
                  </w:r>
                </w:p>
              </w:tc>
              <w:tc>
                <w:tcPr/>
                <w:p>
                  <w:pPr>
                    <w:pStyle w:val="Compact"/>
                    <w:jc w:val="right"/>
                    <w:jc w:val="center"/>
                  </w:pPr>
                  <w:r>
                    <w:t xml:space="preserve">8.7</w:t>
                  </w:r>
                </w:p>
              </w:tc>
              <w:tc>
                <w:tcPr/>
                <w:p>
                  <w:pPr>
                    <w:pStyle w:val="Compact"/>
                    <w:jc w:val="right"/>
                    <w:jc w:val="center"/>
                  </w:pPr>
                  <w:r>
                    <w:t xml:space="preserve">6.1</w:t>
                  </w:r>
                </w:p>
              </w:tc>
              <w:tc>
                <w:tcPr/>
                <w:p>
                  <w:pPr>
                    <w:pStyle w:val="Compact"/>
                    <w:jc w:val="right"/>
                    <w:jc w:val="center"/>
                  </w:pPr>
                  <w:r>
                    <w:t xml:space="preserve">2.0</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2nd lockdown</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10106</w:t>
                  </w:r>
                </w:p>
              </w:tc>
              <w:tc>
                <w:tcPr/>
                <w:p>
                  <w:pPr>
                    <w:pStyle w:val="Compact"/>
                    <w:jc w:val="right"/>
                    <w:jc w:val="center"/>
                  </w:pPr>
                  <w:r>
                    <w:t xml:space="preserve">11.3</w:t>
                  </w:r>
                </w:p>
              </w:tc>
              <w:tc>
                <w:tcPr/>
                <w:p>
                  <w:pPr>
                    <w:pStyle w:val="Compact"/>
                    <w:jc w:val="right"/>
                    <w:jc w:val="center"/>
                  </w:pPr>
                  <w:r>
                    <w:t xml:space="preserve">6.7</w:t>
                  </w:r>
                </w:p>
              </w:tc>
              <w:tc>
                <w:tcPr/>
                <w:p>
                  <w:pPr>
                    <w:pStyle w:val="Compact"/>
                    <w:jc w:val="right"/>
                    <w:jc w:val="center"/>
                  </w:pPr>
                  <w:r>
                    <w:t xml:space="preserve">4.8</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2nd lockdown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5957</w:t>
                  </w:r>
                </w:p>
              </w:tc>
              <w:tc>
                <w:tcPr/>
                <w:p>
                  <w:pPr>
                    <w:pStyle w:val="Compact"/>
                    <w:jc w:val="right"/>
                    <w:jc w:val="center"/>
                  </w:pPr>
                  <w:r>
                    <w:t xml:space="preserve">15.0</w:t>
                  </w:r>
                </w:p>
              </w:tc>
              <w:tc>
                <w:tcPr/>
                <w:p>
                  <w:pPr>
                    <w:pStyle w:val="Compact"/>
                    <w:jc w:val="right"/>
                    <w:jc w:val="center"/>
                  </w:pPr>
                  <w:r>
                    <w:t xml:space="preserve">8.0</w:t>
                  </w:r>
                </w:p>
              </w:tc>
              <w:tc>
                <w:tcPr/>
                <w:p>
                  <w:pPr>
                    <w:pStyle w:val="Compact"/>
                    <w:jc w:val="right"/>
                    <w:jc w:val="center"/>
                  </w:pPr>
                  <w:r>
                    <w:t xml:space="preserve">5.3</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3rd lockdown</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21755</w:t>
                  </w:r>
                </w:p>
              </w:tc>
              <w:tc>
                <w:tcPr/>
                <w:p>
                  <w:pPr>
                    <w:pStyle w:val="Compact"/>
                    <w:jc w:val="right"/>
                    <w:jc w:val="center"/>
                  </w:pPr>
                  <w:r>
                    <w:t xml:space="preserve">5.3</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3rd lockdown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8300</w:t>
                  </w:r>
                </w:p>
              </w:tc>
              <w:tc>
                <w:tcPr/>
                <w:p>
                  <w:pPr>
                    <w:pStyle w:val="Compact"/>
                    <w:jc w:val="right"/>
                    <w:jc w:val="center"/>
                  </w:pPr>
                  <w:r>
                    <w:t xml:space="preserve">10.3</w:t>
                  </w:r>
                </w:p>
              </w:tc>
              <w:tc>
                <w:tcPr/>
                <w:p>
                  <w:pPr>
                    <w:pStyle w:val="Compact"/>
                    <w:jc w:val="right"/>
                    <w:jc w:val="center"/>
                  </w:pPr>
                  <w:r>
                    <w:t xml:space="preserve">5.8</w:t>
                  </w:r>
                </w:p>
              </w:tc>
              <w:tc>
                <w:tcPr/>
                <w:p>
                  <w:pPr>
                    <w:pStyle w:val="Compact"/>
                    <w:jc w:val="right"/>
                    <w:jc w:val="center"/>
                  </w:pPr>
                  <w:r>
                    <w:t xml:space="preserve">3.7</w:t>
                  </w:r>
                </w:p>
              </w:tc>
              <w:tc>
                <w:tcPr/>
                <w:p>
                  <w:pPr>
                    <w:pStyle w:val="Compact"/>
                    <w:jc w:val="right"/>
                    <w:jc w:val="center"/>
                  </w:pPr>
                  <w:r>
                    <w:t xml:space="preserve">1.1</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11607</w:t>
                  </w:r>
                </w:p>
              </w:tc>
              <w:tc>
                <w:tcPr/>
                <w:p>
                  <w:pPr>
                    <w:pStyle w:val="Compact"/>
                    <w:jc w:val="right"/>
                    <w:jc w:val="center"/>
                  </w:pPr>
                  <w:r>
                    <w:t xml:space="preserve">14.2</w:t>
                  </w:r>
                </w:p>
              </w:tc>
              <w:tc>
                <w:tcPr/>
                <w:p>
                  <w:pPr>
                    <w:pStyle w:val="Compact"/>
                    <w:jc w:val="right"/>
                    <w:jc w:val="center"/>
                  </w:pPr>
                  <w:r>
                    <w:t xml:space="preserve">7.3</w:t>
                  </w:r>
                </w:p>
              </w:tc>
              <w:tc>
                <w:tcPr/>
                <w:p>
                  <w:pPr>
                    <w:pStyle w:val="Compact"/>
                    <w:jc w:val="right"/>
                    <w:jc w:val="center"/>
                  </w:pPr>
                  <w:r>
                    <w:t xml:space="preserve">5.0</w:t>
                  </w:r>
                </w:p>
              </w:tc>
              <w:tc>
                <w:tcPr/>
                <w:p>
                  <w:pPr>
                    <w:pStyle w:val="Compact"/>
                    <w:jc w:val="right"/>
                    <w:jc w:val="center"/>
                  </w:pPr>
                  <w:r>
                    <w:t xml:space="preserve">1.6</w:t>
                  </w:r>
                </w:p>
              </w:tc>
              <w:tc>
                <w:tcPr/>
                <w:p>
                  <w:pPr>
                    <w:pStyle w:val="Compact"/>
                    <w:jc w:val="right"/>
                    <w:jc w:val="center"/>
                  </w:pPr>
                  <w:r>
                    <w:t xml:space="preserve">0.4</w:t>
                  </w:r>
                </w:p>
              </w:tc>
              <w:tc>
                <w:tcPr/>
                <w:p>
                  <w:pPr>
                    <w:pStyle w:val="Compact"/>
                    <w:jc w:val="right"/>
                    <w:jc w:val="center"/>
                  </w:pPr>
                  <w:r>
                    <w:t xml:space="preserve">0.2</w:t>
                  </w:r>
                </w:p>
              </w:tc>
            </w:tr>
          </w:tbl>
          <w:bookmarkEnd w:id="31"/>
          <w:p/>
        </w:tc>
      </w:tr>
    </w:tbl>
    <w:p>
      <w:pPr>
        <w:pStyle w:val="BodyText"/>
      </w:pPr>
      <w:r>
        <w:t xml:space="preserve">Different pandemic time periods are based on lockdowns and different levels of restrictions.</w:t>
      </w:r>
      <w:r>
        <w:t xml:space="preserve"> </w:t>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4.7 during the pandemic compared to 11.5 pre-pandemic, and</w:t>
      </w:r>
      <w:r>
        <w:t xml:space="preserve"> </w:t>
      </w:r>
      <m:oMath>
        <m:r>
          <m:t>k</m:t>
        </m:r>
      </m:oMath>
      <w:r>
        <w:t xml:space="preserve"> </w:t>
      </w:r>
      <w:r>
        <w:t xml:space="preserve">averaging 0.69 during the pandemic compared to 1.47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Figure 2</w:t>
        </w:r>
      </w:hyperlink>
      <w:r>
        <w:t xml:space="preserve">)C.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0.48 and 0.68 in the remaining 2020 periods (</w:t>
      </w:r>
      <w:hyperlink w:anchor="fig-contacts">
        <w:r>
          <w:rPr>
            <w:rStyle w:val="Hyperlink"/>
          </w:rPr>
          <w:t xml:space="preserve">Figure 2</w:t>
        </w:r>
      </w:hyperlink>
      <w:r>
        <w:t xml:space="preserve">)C.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(Figure S5).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180 minutes) for out-of-household contacts compared to 480 minutes (8 hours) (IQR: 180, 1080 minutes) for household contacts (Figure S1). Figure S6, in which contacts are stratified by age as well household/out-of-household, shows that both household and out-of-household contacts in children (&lt;18 years) remained higher than those in adults throughout 2020 and early 2021, with significant increases in out-of-household contacts of children during periods when schools were open. Contact levels were similar for males and females across all time periods.</w:t>
      </w:r>
    </w:p>
    <w:bookmarkEnd w:id="32"/>
    <w:bookmarkStart w:id="37"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(Figure 3A). Mapping viral load to infectivity via a logistic function based on viral load and culture from Pickering et al.</w:t>
      </w:r>
      <w:r>
        <w:t xml:space="preserve"> </w:t>
      </w:r>
      <w:r>
        <w:t xml:space="preserve">[14]</w:t>
      </w:r>
      <w:r>
        <w:t xml:space="preserve"> </w:t>
      </w:r>
      <w:r>
        <w:t xml:space="preserve">(Figure 3B), calculating the probability of infectivity by day (Figure 3C),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(19.4%) of individuals were estimated to be infectious for zero days, but the remainder were infectious for at least one day (</w:t>
      </w:r>
      <w:hyperlink w:anchor="fig-vl">
        <w:r>
          <w:rPr>
            <w:rStyle w:val="Hyperlink"/>
          </w:rPr>
          <w:t xml:space="preserve">Figure 3</w:t>
        </w:r>
      </w:hyperlink>
      <w:r>
        <w:t xml:space="preserve">). Across all individuals, the median duration of infectiousness around peak viral load,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36" w:name="fig-vl"/>
          <w:p>
            <w:pPr>
              <w:pStyle w:val="Compact"/>
              <w:jc w:val="center"/>
            </w:pPr>
            <w:r>
              <w:drawing>
                <wp:inline>
                  <wp:extent cx="5334000" cy="2667000"/>
                  <wp:effectExtent b="0" l="0" r="0" t="0"/>
                  <wp:docPr descr="" title="" id="34" name="Picture"/>
                  <a:graphic>
                    <a:graphicData uri="http://schemas.openxmlformats.org/drawingml/2006/picture">
                      <pic:pic>
                        <pic:nvPicPr>
                          <pic:cNvPr descr="../results/manuscript_figures/fig3_vl.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viral load progression and infectivity. 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 Figure S7 shows the difference in viral load trajectories and infectivity for the sensitivity analysis with double the standard deviation in the viral load trajectory parameters.</w:t>
            </w:r>
          </w:p>
          <w:bookmarkEnd w:id="36"/>
        </w:tc>
      </w:tr>
    </w:tbl>
    <w:bookmarkEnd w:id="37"/>
    <w:bookmarkStart w:id="42"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0.47 to 0.51 around a median of 0.48,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to 0.41) and</w:t>
      </w:r>
      <w:r>
        <w:t xml:space="preserve"> </w:t>
      </w:r>
      <m:oMath>
        <m:r>
          <m:t>k</m:t>
        </m:r>
      </m:oMath>
      <w:r>
        <w:t xml:space="preserve"> </w:t>
      </w:r>
      <w:r>
        <w:t xml:space="preserve">at 0.24 (95% CI 0.21 to 0.29).</w:t>
      </w:r>
      <w:r>
        <w:t xml:space="preserve"> </w:t>
      </w:r>
      <m:oMath>
        <m:r>
          <m:t>R</m:t>
        </m:r>
      </m:oMath>
      <w:r>
        <w:t xml:space="preserve"> </w:t>
      </w:r>
      <w:r>
        <w:t xml:space="preserve">rose as lockdown eased (</w:t>
      </w:r>
      <m:oMath>
        <m:r>
          <m:t>R</m:t>
        </m:r>
      </m:oMath>
      <w:r>
        <w:t xml:space="preserve"> </w:t>
      </w:r>
      <w:r>
        <w:t xml:space="preserve">= 0.66, 95% CI 0.56 to 0.8) and restrictions were relaxed in the summer of 2020 (</w:t>
      </w:r>
      <m:oMath>
        <m:r>
          <m:t>R</m:t>
        </m:r>
      </m:oMath>
      <w:r>
        <w:t xml:space="preserve"> </w:t>
      </w:r>
      <w:r>
        <w:t xml:space="preserve">= 1.02, 95% CI 0.92 to 1.15) and again as schools reopened in the autumn (</w:t>
      </w:r>
      <m:oMath>
        <m:r>
          <m:t>R</m:t>
        </m:r>
      </m:oMath>
      <w:r>
        <w:t xml:space="preserve"> </w:t>
      </w:r>
      <w:r>
        <w:t xml:space="preserve">= 1.46, 95% CI 1.33 to 1.6).</w:t>
      </w:r>
      <w:r>
        <w:t xml:space="preserve"> </w:t>
      </w:r>
      <m:oMath>
        <m:r>
          <m:t>R</m:t>
        </m:r>
      </m:oMath>
      <w:r>
        <w:t xml:space="preserve"> </w:t>
      </w:r>
      <w:r>
        <w:t xml:space="preserve">then decreased again during the second lockdown to 1.03 (95% CI 0.92 to 1.17).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w:t>
      </w:r>
      <w:hyperlink w:anchor="fig-rk">
        <w:r>
          <w:rPr>
            <w:rStyle w:val="Hyperlink"/>
          </w:rPr>
          <w:t xml:space="preserve">Figure 4</w:t>
        </w:r>
      </w:hyperlink>
      <w:r>
        <w:t xml:space="preserve">).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2.47 to 2.53) to 2.73 (95% CI 2.57 to 2.93) and a small reduction in</w:t>
      </w:r>
      <w:r>
        <w:t xml:space="preserve"> </w:t>
      </w:r>
      <m:oMath>
        <m:r>
          <m:t>k</m:t>
        </m:r>
      </m:oMath>
      <w:r>
        <w:t xml:space="preserve"> </w:t>
      </w:r>
      <w:r>
        <w:t xml:space="preserve">from 0.48 (95% CI 0.46 to 0.51) to 0.46 (95% CI 0.42 to 0.5) (Table S1).</w:t>
      </w:r>
    </w:p>
    <w:tbl>
      <w:tblPr>
        <w:tblStyle w:val="Table"/>
        <w:tblW w:type="pct" w:w="5000"/>
        <w:tblLayout w:type="fixed"/>
        <w:tblLook w:firstRow="0" w:lastRow="0" w:firstColumn="0" w:lastColumn="0" w:noHBand="0" w:noVBand="0" w:val="0000"/>
      </w:tblPr>
      <w:tblGrid>
        <w:gridCol w:w="7920"/>
      </w:tblGrid>
      <w:tr>
        <w:tc>
          <w:tcPr/>
          <w:bookmarkStart w:id="41" w:name="fig-rk"/>
          <w:p>
            <w:pPr>
              <w:pStyle w:val="Compact"/>
              <w:jc w:val="center"/>
            </w:pPr>
            <w:r>
              <w:drawing>
                <wp:inline>
                  <wp:extent cx="5334000" cy="3556000"/>
                  <wp:effectExtent b="0" l="0" r="0" t="0"/>
                  <wp:docPr descr="" title="" id="39" name="Picture"/>
                  <a:graphic>
                    <a:graphicData uri="http://schemas.openxmlformats.org/drawingml/2006/picture">
                      <pic:pic>
                        <pic:nvPicPr>
                          <pic:cNvPr descr="../results/manuscript_figures/fig4_rk.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Estimates of the mean and dispersion of negative binomial distributions fitted to simulated secondary infection distributions by time period in 2020. The dispersion parameter</w:t>
            </w:r>
            <w:r>
              <w:t xml:space="preserve"> </w:t>
            </w:r>
            <m:oMath>
              <m:r>
                <m:t>k</m:t>
              </m:r>
            </m:oMath>
            <w:r>
              <w:t xml:space="preserve"> </w:t>
            </w:r>
            <w:r>
              <w:t xml:space="preserve">gives an indication of the variation in the secondary infection distribution, with smaller values corresponding to greater variation and values less than 1 corresponding to very large variation. Grey boxes in the</w:t>
            </w:r>
            <w:r>
              <w:t xml:space="preserve"> </w:t>
            </w:r>
            <m:oMath>
              <m:r>
                <m:t>R</m:t>
              </m:r>
            </m:oMath>
            <w:r>
              <w:t xml:space="preserve"> </w:t>
            </w:r>
            <w:r>
              <w:t xml:space="preserve">plot show the average upper and lower bounds (90% confidence interval) of the consensus estimates published by the Scientific Pandemic Influenza group on Modelling in the UK for the specified time periods. Shaded bands show 95% bootstrap confidence intervals for the</w:t>
            </w:r>
            <w:r>
              <w:t xml:space="preserve"> </w:t>
            </w:r>
            <m:oMath>
              <m:r>
                <m:t>R</m:t>
              </m:r>
            </m:oMath>
            <w:r>
              <w:t xml:space="preserve"> </w:t>
            </w:r>
            <w:r>
              <w:t xml:space="preserve">and</w:t>
            </w:r>
            <w:r>
              <w:t xml:space="preserve"> </w:t>
            </w:r>
            <m:oMath>
              <m:r>
                <m:t>k</m:t>
              </m:r>
            </m:oMath>
            <w:r>
              <w:t xml:space="preserve"> </w:t>
            </w:r>
            <w:r>
              <w:t xml:space="preserve">estimates.</w:t>
            </w:r>
          </w:p>
          <w:bookmarkEnd w:id="41"/>
        </w:tc>
      </w:tr>
    </w:tbl>
    <w:bookmarkEnd w:id="42"/>
    <w:bookmarkStart w:id="47"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1.46 to 1.88. If viral load is fixed at the median trajectory, but contacts are overdispersed, values of</w:t>
      </w:r>
      <w:r>
        <w:t xml:space="preserve"> </w:t>
      </w:r>
      <m:oMath>
        <m:r>
          <m:t>k</m:t>
        </m:r>
      </m:oMath>
      <w:r>
        <w:t xml:space="preserve"> </w:t>
      </w:r>
      <w:r>
        <w:t xml:space="preserve">are lower (0.11 to 0.74) and approximately equal to that of overdispersed contacts and variable viral load trajectories (0.11 to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Figure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(Figure 3D).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Figure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to 0.92) and variable viral loads were closer to those for overdispersed contacts and variable viral loads (0.08 to 0.33), but still higher (Figure S8).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46" w:name="fig-heterogen"/>
          <w:p>
            <w:pPr>
              <w:pStyle w:val="Compact"/>
              <w:jc w:val="center"/>
            </w:pPr>
            <w:r>
              <w:drawing>
                <wp:inline>
                  <wp:extent cx="5334000" cy="5866948"/>
                  <wp:effectExtent b="0" l="0" r="0" t="0"/>
                  <wp:docPr descr="" title="" id="44" name="Picture"/>
                  <a:graphic>
                    <a:graphicData uri="http://schemas.openxmlformats.org/drawingml/2006/picture">
                      <pic:pic>
                        <pic:nvPicPr>
                          <pic:cNvPr descr="../results/manuscript_figures/fig5_heterogen.png" id="45" name="Picture"/>
                          <pic:cNvPicPr>
                            <a:picLocks noChangeArrowheads="1" noChangeAspect="1"/>
                          </pic:cNvPicPr>
                        </pic:nvPicPr>
                        <pic:blipFill>
                          <a:blip r:embed="rId43"/>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 The dispersion parameter</w:t>
            </w:r>
            <w:r>
              <w:t xml:space="preserve"> </w:t>
            </w:r>
            <m:oMath>
              <m:r>
                <m:t>k</m:t>
              </m:r>
            </m:oMath>
            <w:r>
              <w:t xml:space="preserve"> </w:t>
            </w:r>
            <w:r>
              <w:t xml:space="preserve">gives an indication of the variation in numbers of secondary infections, with smaller values corresponding to greater variation and values less than 1 corresponding to very large variation. Values of</w:t>
            </w:r>
            <w:r>
              <w:t xml:space="preserve"> </w:t>
            </w:r>
            <m:oMath>
              <m:r>
                <m:t>k</m:t>
              </m:r>
            </m:oMath>
            <w:r>
              <w:t xml:space="preserve"> </w:t>
            </w:r>
            <w:r>
              <w:t xml:space="preserve">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Figure S8.</w:t>
            </w:r>
          </w:p>
          <w:bookmarkEnd w:id="46"/>
        </w:tc>
      </w:tr>
    </w:tbl>
    <w:bookmarkEnd w:id="47"/>
    <w:bookmarkStart w:id="52"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70% to reduce</w:t>
      </w:r>
      <w:r>
        <w:t xml:space="preserve"> </w:t>
      </w:r>
      <m:oMath>
        <m:r>
          <m:t>R</m:t>
        </m:r>
      </m:oMath>
      <w:r>
        <w:t xml:space="preserve"> </w:t>
      </w:r>
      <w:r>
        <w:t xml:space="preserve">below 1 if testing daily and must be above 80% if testing every 3 days, but even 100% uptake will not reduce</w:t>
      </w:r>
      <w:r>
        <w:t xml:space="preserve"> </w:t>
      </w:r>
      <m:oMath>
        <m:r>
          <m:t>R</m:t>
        </m:r>
      </m:oMath>
      <w:r>
        <w:t xml:space="preserve"> </w:t>
      </w:r>
      <w:r>
        <w:t xml:space="preserve">below 1 if testing weekly (Figure 6A). For lockdown levels of contacts, testing does not appreciably reduce</w:t>
      </w:r>
      <w:r>
        <w:t xml:space="preserve"> </w:t>
      </w:r>
      <m:oMath>
        <m:r>
          <m:t>R</m:t>
        </m:r>
      </m:oMath>
      <w:r>
        <w:t xml:space="preserve"> </w:t>
      </w:r>
      <w:r>
        <w:t xml:space="preserve">below its already low level. For contact rates equivalent to those under relaxed restrictions with schools open, testing every 3 days will reduce</w:t>
      </w:r>
      <w:r>
        <w:t xml:space="preserve"> </w:t>
      </w:r>
      <m:oMath>
        <m:r>
          <m:t>R</m:t>
        </m:r>
      </m:oMath>
      <w:r>
        <w:t xml:space="preserve"> </w:t>
      </w:r>
      <w:r>
        <w:t xml:space="preserve">below 1 if uptake exceeds 50% (Figure 6A). Pre-event testing acts similarly, with high uptake (&gt; 80%) and testing for events with more than 10 others necessary to reduce</w:t>
      </w:r>
      <w:r>
        <w:t xml:space="preserve"> </w:t>
      </w:r>
      <m:oMath>
        <m:r>
          <m:t>R</m:t>
        </m:r>
      </m:oMath>
      <w:r>
        <w:t xml:space="preserve"> </w:t>
      </w:r>
      <w:r>
        <w:t xml:space="preserve">below 1 for pre-pandemic levels of contact, but only testing when attending events with more than 20 others and 30% adherence required during relaxed restrictions with schools open (Figure 6B). Both regular testing and pre-event testing reduce the rate of superspreading as defined as the proportion of individuals infecting over 10 others. However, there is also an increase in the proportion of individuals that infect no one. In some cases, this results in a decrease in</w:t>
      </w:r>
      <w:r>
        <w:t xml:space="preserve"> </w:t>
      </w:r>
      <m:oMath>
        <m:r>
          <m:t>k</m:t>
        </m:r>
      </m:oMath>
      <w:r>
        <w:t xml:space="preserve"> </w:t>
      </w:r>
      <w:r>
        <w:t xml:space="preserve">(greater overdispersion in the secondary infection distribution) (Figure 6).</w:t>
      </w:r>
      <w:r>
        <w:t xml:space="preserve"> </w:t>
      </w:r>
      <w:r>
        <w:t xml:space="preserve">From the sensitivity analysis comparing the impact of regular testing with and without overdispersion in contacts (Figure S9), we can see that ignoring overdispersion in contacts reduces the estimated impact of testing in terms of reducing</w:t>
      </w:r>
      <w:r>
        <w:t xml:space="preserve"> </w:t>
      </w:r>
      <m:oMath>
        <m:r>
          <m:t>R</m:t>
        </m:r>
      </m:oMath>
      <w:r>
        <w:t xml:space="preserve"> </w:t>
      </w:r>
      <w:r>
        <w:t xml:space="preserve">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51" w:name="fig-testing"/>
          <w:p>
            <w:pPr>
              <w:pStyle w:val="Compact"/>
              <w:jc w:val="center"/>
            </w:pPr>
            <w:r>
              <w:drawing>
                <wp:inline>
                  <wp:extent cx="5334000" cy="8255870"/>
                  <wp:effectExtent b="0" l="0" r="0" t="0"/>
                  <wp:docPr descr="" title="" id="49" name="Picture"/>
                  <a:graphic>
                    <a:graphicData uri="http://schemas.openxmlformats.org/drawingml/2006/picture">
                      <pic:pic>
                        <pic:nvPicPr>
                          <pic:cNvPr descr="../results/manuscript_figures/fig6_testing.png" id="50" name="Picture"/>
                          <pic:cNvPicPr>
                            <a:picLocks noChangeArrowheads="1" noChangeAspect="1"/>
                          </pic:cNvPicPr>
                        </pic:nvPicPr>
                        <pic:blipFill>
                          <a:blip r:embed="rId48"/>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 of regular and pre-event lateral flow testing on</w:t>
            </w:r>
            <w:r>
              <w:t xml:space="preserve"> </w:t>
            </w:r>
            <m:oMath>
              <m:r>
                <m:t>R</m:t>
              </m:r>
            </m:oMath>
            <w:r>
              <w:t xml:space="preserve">,</w:t>
            </w:r>
            <w:r>
              <w:t xml:space="preserve"> </w:t>
            </w:r>
            <m:oMath>
              <m:r>
                <m:t>k</m:t>
              </m:r>
            </m:oMath>
            <w:r>
              <w:t xml:space="preserve">, and the proportion infecting over 10 or 0 others for varying levels of uptake or adherence (horizontal axes) and background contact rates (columns). A. Regular testing. B. Pre-event testing.</w:t>
            </w:r>
          </w:p>
          <w:bookmarkEnd w:id="51"/>
        </w:tc>
      </w:tr>
    </w:tbl>
    <w:bookmarkEnd w:id="52"/>
    <w:bookmarkEnd w:id="53"/>
    <w:bookmarkStart w:id="54"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(Figure 4). Daily contact rates became both lower on average, from 11.5 per day to 4.7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(Figure 2C) can be used to estimate dynamic shifts in the mean and overdispersion of the reproduction number (Figure 4).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p>
    <w:p>
      <w:pPr>
        <w:pStyle w:val="BodyText"/>
      </w:pP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(Figure 5).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r>
          <m:rPr>
            <m:sty m:val="p"/>
          </m:rPr>
          <m:t>(</m:t>
        </m:r>
        <m:r>
          <m:t>t</m:t>
        </m:r>
        <m:r>
          <m:rPr>
            <m:sty m:val="p"/>
          </m:rPr>
          <m:t>)</m:t>
        </m:r>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In their analysis of the CoMix data, Gimma et al.</w:t>
      </w:r>
      <w:r>
        <w:t xml:space="preserve"> </w:t>
      </w:r>
      <w:r>
        <w:t xml:space="preserve">[11]</w:t>
      </w:r>
      <w:r>
        <w:t xml:space="preserve"> </w:t>
      </w:r>
      <w:r>
        <w:t xml:space="preserve">found that school-aged children consistently had higher numbers of contacts across both lockdowns and periods of relaxed restrictions than working-age adults, who in turn had higher numbers of contacts than older adults (60+ years). Contact levels also varied with employment status, with part-time-employed participants having more contacts than full-time or self-employed participants. Another analysis of the CoMix data that focused on individuals with high numbers of contacts</w:t>
      </w:r>
      <w:r>
        <w:t xml:space="preserve"> </w:t>
      </w:r>
      <w:r>
        <w:t xml:space="preserve">[28]</w:t>
      </w:r>
      <w:r>
        <w:t xml:space="preserve"> </w:t>
      </w:r>
      <w:r>
        <w:t xml:space="preserve">identified that most reports of high numbers of contacts came from work and school settings and tended to be reported by participants in certain professions (teaching, retail, administration, construction, medicine, social work, hospitality). Some of this work is considered essential, and keeping schools open where possible is a high priority, so opportunities for reducing these contacts may be limited. This highlights the potential value of regular rapid testing as a way of preventing superspreading even when some individuals have many contacts.</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(Figure 2B).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 Another limitation of the BBC Pandemic contact data is that working-age adults were overrepresented among the participants, while children under 13 years were excluded (Figure S3). It is possible that this may have led to some bias in the reported contact distributions. However, the similarity of contact patterns observed in the BBC Pandemic and UK POLYMOD datasets</w:t>
      </w:r>
      <w:r>
        <w:t xml:space="preserve"> </w:t>
      </w:r>
      <w:r>
        <w:t xml:space="preserve">[8]</w:t>
      </w:r>
      <w:r>
        <w:t xml:space="preserve"> </w:t>
      </w:r>
      <w:r>
        <w:t xml:space="preserve">suggests that the BBC Pandemic data is broadly representative of pre-pandemic contact patterns in the whole UK population.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[29]</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w:t>
      </w:r>
    </w:p>
    <w:p>
      <w:pPr>
        <w:pStyle w:val="BodyText"/>
      </w:pPr>
      <w:r>
        <w:t xml:space="preserve">We assume that the probability of shedding infectious virus is equal to the probability of culturing virus, but the exact relationship between viral culture positivity and infectiousness is not known</w:t>
      </w:r>
      <w:r>
        <w:t xml:space="preserve"> </w:t>
      </w:r>
      <w:r>
        <w:t xml:space="preserve">[30]</w:t>
      </w:r>
      <w:r>
        <w:t xml:space="preserve">, so our results must be interpreted with this limitation in mind. Furthermore, the specific proportions of infectious individuals we report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(Figure S8);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[31]</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[32]</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[33,34]</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[35,36]</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[37]</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respiratory viruses that exhibit heterogeneous transmission, including influenza, RSV, and adenoviruses</w:t>
      </w:r>
      <w:r>
        <w:t xml:space="preserve"> </w:t>
      </w:r>
      <w:r>
        <w:t xml:space="preserve">[3,38,39]</w:t>
      </w:r>
      <w:r>
        <w:t xml:space="preserve">.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viral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respiratory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54"/>
    <w:bookmarkStart w:id="55" w:name="acknowledgements"/>
    <w:p>
      <w:pPr>
        <w:pStyle w:val="Heading2"/>
      </w:pPr>
      <w:r>
        <w:t xml:space="preserve">Acknowledgements</w:t>
      </w:r>
    </w:p>
    <w:p>
      <w:pPr>
        <w:pStyle w:val="FirstParagraph"/>
      </w:pPr>
      <w:r>
        <w:t xml:space="preserve">The authors acknowledge funding from the Medical Research Council (MC_PC_19065 - WJE); European Commission (EpiPose 101003688 - KLMW, AG, WJE); NIHR (CV220-088 - COMIX; 16/137/109 - BJQ, 16/136/46 - BJQ); Bill and Melinda Gates Foundation (OPP1139859 - BJQ); Wellcome Trust (206250/Z/17/Z - AJK, LACC; WT098049AIA - SJDN); NIHR HPRU in Modelling and Health Economics (NIHR200908 - AJK, LACC); King’s Together Rapid COVID-19 Call - SJDN, RPG; Huo Family Foundation Award - SP, SJDN.</w:t>
      </w:r>
    </w:p>
    <w:bookmarkEnd w:id="55"/>
    <w:bookmarkStart w:id="56" w:name="ethics"/>
    <w:p>
      <w:pPr>
        <w:pStyle w:val="Heading2"/>
      </w:pPr>
      <w:r>
        <w:t xml:space="preserve">Ethics</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56"/>
    <w:bookmarkStart w:id="95" w:name="supporting-information"/>
    <w:p>
      <w:pPr>
        <w:pStyle w:val="Heading2"/>
      </w:pPr>
      <w:r>
        <w:t xml:space="preserve">Supporting Information</w:t>
      </w:r>
    </w:p>
    <w:tbl>
      <w:tblPr>
        <w:tblStyle w:val="Table"/>
        <w:tblW w:type="pct" w:w="5000"/>
        <w:tblLayout w:type="fixed"/>
        <w:tblLook w:firstRow="0" w:lastRow="0" w:firstColumn="0" w:lastColumn="0" w:noHBand="0" w:noVBand="0" w:val="0000"/>
      </w:tblPr>
      <w:tblGrid>
        <w:gridCol w:w="7920"/>
      </w:tblGrid>
      <w:tr>
        <w:tc>
          <w:tcPr/>
          <w:bookmarkStart w:id="60" w:name="fig-s1"/>
          <w:p>
            <w:pPr>
              <w:pStyle w:val="Compact"/>
              <w:jc w:val="center"/>
            </w:pPr>
            <w:r>
              <w:drawing>
                <wp:inline>
                  <wp:extent cx="5334000" cy="2540102"/>
                  <wp:effectExtent b="0" l="0" r="0" t="0"/>
                  <wp:docPr descr="" title="" id="58" name="Picture"/>
                  <a:graphic>
                    <a:graphicData uri="http://schemas.openxmlformats.org/drawingml/2006/picture">
                      <pic:pic>
                        <pic:nvPicPr>
                          <pic:cNvPr descr="../results/manuscript_figures/fig_duration_hist.png" id="59" name="Picture"/>
                          <pic:cNvPicPr>
                            <a:picLocks noChangeArrowheads="1" noChangeAspect="1"/>
                          </pic:cNvPicPr>
                        </pic:nvPicPr>
                        <pic:blipFill>
                          <a:blip r:embed="rId57"/>
                          <a:stretch>
                            <a:fillRect/>
                          </a:stretch>
                        </pic:blipFill>
                        <pic:spPr bwMode="auto">
                          <a:xfrm>
                            <a:off x="0" y="0"/>
                            <a:ext cx="5334000" cy="254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the duration of contact for household and out-of-household contacts from the CoMix contact survey in the UK.</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s2"/>
          <w:p>
            <w:pPr>
              <w:pStyle w:val="Compact"/>
              <w:jc w:val="center"/>
            </w:pPr>
            <w:r>
              <w:drawing>
                <wp:inline>
                  <wp:extent cx="5334000" cy="4000500"/>
                  <wp:effectExtent b="0" l="0" r="0" t="0"/>
                  <wp:docPr descr="" title="" id="62" name="Picture"/>
                  <a:graphic>
                    <a:graphicData uri="http://schemas.openxmlformats.org/drawingml/2006/picture">
                      <pic:pic>
                        <pic:nvPicPr>
                          <pic:cNvPr descr="../results/manuscript_figures/fig_contact_number_vs_duration.png" id="63" name="Picture"/>
                          <pic:cNvPicPr>
                            <a:picLocks noChangeArrowheads="1" noChangeAspect="1"/>
                          </pic:cNvPicPr>
                        </pic:nvPicPr>
                        <pic:blipFill>
                          <a:blip r:embed="rId6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Correlation between number of contacts and mean contact duration for CoMix survey participants from March 2020 to May 2021.</w:t>
            </w:r>
          </w:p>
          <w:bookmarkEnd w:id="64"/>
        </w:tc>
      </w:tr>
    </w:tbl>
    <w:tbl>
      <w:tblPr>
        <w:tblStyle w:val="Table"/>
        <w:tblW w:type="pct" w:w="5000"/>
        <w:tblLayout w:type="fixed"/>
        <w:tblLook w:firstRow="0" w:lastRow="0" w:firstColumn="0" w:lastColumn="0" w:noHBand="0" w:noVBand="0" w:val="0000"/>
      </w:tblPr>
      <w:tblGrid>
        <w:gridCol w:w="7920"/>
      </w:tblGrid>
      <w:tr>
        <w:tc>
          <w:tcPr/>
          <w:bookmarkStart w:id="68" w:name="fig-s3"/>
          <w:p>
            <w:pPr>
              <w:pStyle w:val="Compact"/>
              <w:jc w:val="center"/>
            </w:pPr>
            <w:r>
              <w:drawing>
                <wp:inline>
                  <wp:extent cx="5334000" cy="3546590"/>
                  <wp:effectExtent b="0" l="0" r="0" t="0"/>
                  <wp:docPr descr="" title="" id="66" name="Picture"/>
                  <a:graphic>
                    <a:graphicData uri="http://schemas.openxmlformats.org/drawingml/2006/picture">
                      <pic:pic>
                        <pic:nvPicPr>
                          <pic:cNvPr descr="../results/manuscript_figures/fig_age_distribution.png" id="67" name="Picture"/>
                          <pic:cNvPicPr>
                            <a:picLocks noChangeArrowheads="1" noChangeAspect="1"/>
                          </pic:cNvPicPr>
                        </pic:nvPicPr>
                        <pic:blipFill>
                          <a:blip r:embed="rId65"/>
                          <a:stretch>
                            <a:fillRect/>
                          </a:stretch>
                        </pic:blipFill>
                        <pic:spPr bwMode="auto">
                          <a:xfrm>
                            <a:off x="0" y="0"/>
                            <a:ext cx="5334000" cy="354659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Age distribution of participants in the BBC Pandemic (Pre-pandemic) contact survey and each of the nine time periods from the CoMix contact survey from March 2020 to May 2021 relative to the mid-2020 UK age distribution</w:t>
            </w:r>
            <w:r>
              <w:t xml:space="preserve"> </w:t>
            </w:r>
            <w:r>
              <w:t xml:space="preserve">[40]</w:t>
            </w:r>
            <w:r>
              <w:t xml:space="preserve">.</w:t>
            </w:r>
          </w:p>
          <w:bookmarkEnd w:id="68"/>
        </w:tc>
      </w:tr>
    </w:tbl>
    <w:tbl>
      <w:tblPr>
        <w:tblStyle w:val="Table"/>
        <w:tblW w:type="pct" w:w="5000"/>
        <w:tblLayout w:type="fixed"/>
        <w:tblLook w:firstRow="0" w:lastRow="0" w:firstColumn="0" w:lastColumn="0" w:noHBand="0" w:noVBand="0" w:val="0000"/>
      </w:tblPr>
      <w:tblGrid>
        <w:gridCol w:w="7920"/>
      </w:tblGrid>
      <w:tr>
        <w:tc>
          <w:tcPr/>
          <w:bookmarkStart w:id="72" w:name="fig-s4"/>
          <w:p>
            <w:pPr>
              <w:pStyle w:val="Compact"/>
              <w:jc w:val="center"/>
            </w:pPr>
            <w:r>
              <w:drawing>
                <wp:inline>
                  <wp:extent cx="5334000" cy="2031436"/>
                  <wp:effectExtent b="0" l="0" r="0" t="0"/>
                  <wp:docPr descr="" title="" id="70" name="Picture"/>
                  <a:graphic>
                    <a:graphicData uri="http://schemas.openxmlformats.org/drawingml/2006/picture">
                      <pic:pic>
                        <pic:nvPicPr>
                          <pic:cNvPr descr="../results/manuscript_figures/fig_contacts_adjusted_ecdf.png" id="71" name="Picture"/>
                          <pic:cNvPicPr>
                            <a:picLocks noChangeArrowheads="1" noChangeAspect="1"/>
                          </pic:cNvPicPr>
                        </pic:nvPicPr>
                        <pic:blipFill>
                          <a:blip r:embed="rId69"/>
                          <a:stretch>
                            <a:fillRect/>
                          </a:stretch>
                        </pic:blipFill>
                        <pic:spPr bwMode="auto">
                          <a:xfrm>
                            <a:off x="0" y="0"/>
                            <a:ext cx="5334000" cy="20314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Contact distributions for three indicative timepoints before and during the pandemic in the UK with an imputed heavier tail in the Pre-pandemic (BBC Pandemic) contact distribution (cf. Figure 2B). The heavier tail was imputed from the tails of contact distributions during periods of relaxed restrictions in the CoMix survey. We conducted a sensitivity analysis with this distribution to determine the effect of the heavier tail on</w:t>
            </w:r>
            <w:r>
              <w:t xml:space="preserve"> </w:t>
            </w:r>
            <m:oMath>
              <m:sSub>
                <m:e>
                  <m:r>
                    <m:t>R</m:t>
                  </m:r>
                </m:e>
                <m:sub>
                  <m:r>
                    <m:t>0</m:t>
                  </m:r>
                </m:sub>
              </m:sSub>
            </m:oMath>
            <w:r>
              <w:t xml:space="preserve"> </w:t>
            </w:r>
            <w:r>
              <w:t xml:space="preserve">and</w:t>
            </w:r>
            <w:r>
              <w:t xml:space="preserve"> </w:t>
            </w:r>
            <m:oMath>
              <m:r>
                <m:t>k</m:t>
              </m:r>
            </m:oMath>
            <w:r>
              <w:t xml:space="preserve">.</w:t>
            </w:r>
          </w:p>
          <w:bookmarkEnd w:id="72"/>
        </w:tc>
      </w:tr>
    </w:tbl>
    <w:tbl>
      <w:tblPr>
        <w:tblStyle w:val="Table"/>
        <w:tblW w:type="pct" w:w="5000"/>
        <w:tblLayout w:type="fixed"/>
        <w:tblLook w:firstRow="0" w:lastRow="0" w:firstColumn="0" w:lastColumn="0" w:noHBand="0" w:noVBand="0" w:val="0000"/>
      </w:tblPr>
      <w:tblGrid>
        <w:gridCol w:w="7920"/>
      </w:tblGrid>
      <w:tr>
        <w:tc>
          <w:tcPr/>
          <w:bookmarkStart w:id="76" w:name="fig-s5"/>
          <w:p>
            <w:pPr>
              <w:pStyle w:val="Compact"/>
              <w:jc w:val="center"/>
            </w:pPr>
            <w:r>
              <w:drawing>
                <wp:inline>
                  <wp:extent cx="5334000" cy="10669075"/>
                  <wp:effectExtent b="0" l="0" r="0" t="0"/>
                  <wp:docPr descr="" title="" id="74" name="Picture"/>
                  <a:graphic>
                    <a:graphicData uri="http://schemas.openxmlformats.org/drawingml/2006/picture">
                      <pic:pic>
                        <pic:nvPicPr>
                          <pic:cNvPr descr="../results/manuscript_figures/fig_contacts_ecdf_all.png" id="75" name="Picture"/>
                          <pic:cNvPicPr>
                            <a:picLocks noChangeArrowheads="1" noChangeAspect="1"/>
                          </pic:cNvPicPr>
                        </pic:nvPicPr>
                        <pic:blipFill>
                          <a:blip r:embed="rId73"/>
                          <a:stretch>
                            <a:fillRect/>
                          </a:stretch>
                        </pic:blipFill>
                        <pic:spPr bwMode="auto">
                          <a:xfrm>
                            <a:off x="0" y="0"/>
                            <a:ext cx="5334000" cy="10669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Distribution of the number of reported daily contacts for all time periods before (BBC Pandemic contact survey) and during (CoMix contact survey) the pandemic in the UK between March 2020 and May 2021.</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s6"/>
          <w:p>
            <w:pPr>
              <w:pStyle w:val="Compact"/>
              <w:jc w:val="center"/>
            </w:pPr>
            <w:r>
              <w:drawing>
                <wp:inline>
                  <wp:extent cx="5334000" cy="3048000"/>
                  <wp:effectExtent b="0" l="0" r="0" t="0"/>
                  <wp:docPr descr="" title="" id="78" name="Picture"/>
                  <a:graphic>
                    <a:graphicData uri="http://schemas.openxmlformats.org/drawingml/2006/picture">
                      <pic:pic>
                        <pic:nvPicPr>
                          <pic:cNvPr descr="../results/manuscript_figures/fig_contacts_by_age_and_gender.png" id="79" name="Picture"/>
                          <pic:cNvPicPr>
                            <a:picLocks noChangeArrowheads="1" noChangeAspect="1"/>
                          </pic:cNvPicPr>
                        </pic:nvPicPr>
                        <pic:blipFill>
                          <a:blip r:embed="rId77"/>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Contact distributions by age and gender across the nine time periods from the CoMix contact survey.</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7"/>
          <w:p>
            <w:pPr>
              <w:pStyle w:val="Compact"/>
              <w:jc w:val="center"/>
            </w:pPr>
            <w:r>
              <w:drawing>
                <wp:inline>
                  <wp:extent cx="5334000" cy="2667000"/>
                  <wp:effectExtent b="0" l="0" r="0" t="0"/>
                  <wp:docPr descr="" title="" id="82" name="Picture"/>
                  <a:graphic>
                    <a:graphicData uri="http://schemas.openxmlformats.org/drawingml/2006/picture">
                      <pic:pic>
                        <pic:nvPicPr>
                          <pic:cNvPr descr="../results/manuscript_figures/fig3_vl_amplified.png" id="83" name="Picture"/>
                          <pic:cNvPicPr>
                            <a:picLocks noChangeArrowheads="1" noChangeAspect="1"/>
                          </pic:cNvPicPr>
                        </pic:nvPicPr>
                        <pic:blipFill>
                          <a:blip r:embed="rId8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Comparison of viral load trajectories and infectivity for the sensitivity analysis with double the standard deviation in viral load trajectory parameters and those used in the main analysis. 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p>
          <w:bookmarkEnd w:id="84"/>
        </w:tc>
      </w:tr>
    </w:tbl>
    <w:tbl>
      <w:tblPr>
        <w:tblStyle w:val="Table"/>
        <w:tblW w:type="pct" w:w="5000"/>
        <w:tblLayout w:type="fixed"/>
        <w:tblLook w:firstRow="0" w:lastRow="0" w:firstColumn="0" w:lastColumn="0" w:noHBand="0" w:noVBand="0" w:val="0000"/>
      </w:tblPr>
      <w:tblGrid>
        <w:gridCol w:w="7920"/>
      </w:tblGrid>
      <w:tr>
        <w:tc>
          <w:tcPr/>
          <w:bookmarkStart w:id="88" w:name="fig-s8"/>
          <w:p>
            <w:pPr>
              <w:pStyle w:val="Compact"/>
              <w:jc w:val="center"/>
            </w:pPr>
            <w:r>
              <w:drawing>
                <wp:inline>
                  <wp:extent cx="5334000" cy="2857327"/>
                  <wp:effectExtent b="0" l="0" r="0" t="0"/>
                  <wp:docPr descr="" title="" id="86" name="Picture"/>
                  <a:graphic>
                    <a:graphicData uri="http://schemas.openxmlformats.org/drawingml/2006/picture">
                      <pic:pic>
                        <pic:nvPicPr>
                          <pic:cNvPr descr="../results/manuscript_figures/fig_heterogen_vl_sens.png" id="87" name="Picture"/>
                          <pic:cNvPicPr>
                            <a:picLocks noChangeArrowheads="1" noChangeAspect="1"/>
                          </pic:cNvPicPr>
                        </pic:nvPicPr>
                        <pic:blipFill>
                          <a:blip r:embed="rId85"/>
                          <a:stretch>
                            <a:fillRect/>
                          </a:stretch>
                        </pic:blipFill>
                        <pic:spPr bwMode="auto">
                          <a:xfrm>
                            <a:off x="0" y="0"/>
                            <a:ext cx="5334000" cy="28573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Sensitivity of estimates of dispersion of the secondary infection distribution in different time periods to the degree of variation in viral load trajectories. Left: standard deviation in distributions for viral load trajectory parameters from Kissler et al. Right: standard deviation of viral load parameters doubled.</w:t>
            </w:r>
          </w:p>
          <w:bookmarkEnd w:id="88"/>
        </w:tc>
      </w:tr>
    </w:tbl>
    <w:tbl>
      <w:tblPr>
        <w:tblStyle w:val="Table"/>
        <w:tblW w:type="pct" w:w="5000"/>
        <w:tblLayout w:type="fixed"/>
        <w:tblLook w:firstRow="0" w:lastRow="0" w:firstColumn="0" w:lastColumn="0" w:noHBand="0" w:noVBand="0" w:val="0000"/>
      </w:tblPr>
      <w:tblGrid>
        <w:gridCol w:w="7920"/>
      </w:tblGrid>
      <w:tr>
        <w:tc>
          <w:tcPr/>
          <w:bookmarkStart w:id="92" w:name="fig-s9"/>
          <w:p>
            <w:pPr>
              <w:pStyle w:val="Compact"/>
              <w:jc w:val="center"/>
            </w:pPr>
            <w:r>
              <w:drawing>
                <wp:inline>
                  <wp:extent cx="5334000" cy="3809769"/>
                  <wp:effectExtent b="0" l="0" r="0" t="0"/>
                  <wp:docPr descr="" title="" id="90" name="Picture"/>
                  <a:graphic>
                    <a:graphicData uri="http://schemas.openxmlformats.org/drawingml/2006/picture">
                      <pic:pic>
                        <pic:nvPicPr>
                          <pic:cNvPr descr="../results/manuscript_figures/fig_testing_heterogen.png" id="91" name="Picture"/>
                          <pic:cNvPicPr>
                            <a:picLocks noChangeArrowheads="1" noChangeAspect="1"/>
                          </pic:cNvPicPr>
                        </pic:nvPicPr>
                        <pic:blipFill>
                          <a:blip r:embed="rId89"/>
                          <a:stretch>
                            <a:fillRect/>
                          </a:stretch>
                        </pic:blipFill>
                        <pic:spPr bwMode="auto">
                          <a:xfrm>
                            <a:off x="0" y="0"/>
                            <a:ext cx="5334000" cy="38097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Comparison of the impact of regular lateral flow testing on</w:t>
            </w:r>
            <w:r>
              <w:t xml:space="preserve"> </w:t>
            </w:r>
            <m:oMath>
              <m:r>
                <m:t>R</m:t>
              </m:r>
            </m:oMath>
            <w:r>
              <w:t xml:space="preserve">,</w:t>
            </w:r>
            <w:r>
              <w:t xml:space="preserve"> </w:t>
            </w:r>
            <m:oMath>
              <m:r>
                <m:t>k</m:t>
              </m:r>
            </m:oMath>
            <w:r>
              <w:t xml:space="preserve">, and the proportion infecting over 10 or 0 others with Poisson-distributed contacts and overdispersed contacts, for varying levels of uptake or adherence and background contact rates.</w:t>
            </w:r>
          </w:p>
          <w:bookmarkEnd w:id="92"/>
        </w:tc>
      </w:tr>
    </w:tbl>
    <w:tbl>
      <w:tblPr>
        <w:tblStyle w:val="Table"/>
        <w:tblW w:type="pct" w:w="5000"/>
        <w:tblLayout w:type="fixed"/>
        <w:tblLook w:firstRow="0" w:lastRow="0" w:firstColumn="0" w:lastColumn="0" w:noHBand="0" w:noVBand="0" w:val="0000"/>
      </w:tblPr>
      <w:tblGrid>
        <w:gridCol w:w="7920"/>
      </w:tblGrid>
      <w:tr>
        <w:tc>
          <w:tcPr/>
          <w:bookmarkStart w:id="93" w:name="tbl-s1"/>
          <w:p>
            <w:pPr>
              <w:jc w:val="center"/>
            </w:pPr>
            <w:pPr>
              <w:jc w:val="left"/>
              <w:spacing w:before="200"/>
              <w:pStyle w:val="ImageCaption"/>
            </w:pPr>
            <w:r>
              <w:t xml:space="preserve">Table 2: Sensitivity analysis of the effect on</w:t>
            </w:r>
            <w:r>
              <w:t xml:space="preserve"> </w:t>
            </w:r>
            <m:oMath>
              <m:r>
                <m:t>R</m:t>
              </m:r>
            </m:oMath>
            <w:r>
              <w:t xml:space="preserve"> </w:t>
            </w:r>
            <w:r>
              <w:t xml:space="preserve">and</w:t>
            </w:r>
            <w:r>
              <w:t xml:space="preserve"> </w:t>
            </w:r>
            <m:oMath>
              <m:r>
                <m:t>k</m:t>
              </m:r>
            </m:oMath>
            <w:r>
              <w:t xml:space="preserve"> </w:t>
            </w:r>
            <w:r>
              <w:t xml:space="preserve">when imputing a heavier tail of the contact distribution for the pre-pandemic BBC Pandemic contact survey, which lacked the ability to record raw counts of high numbers of contacts.</w:t>
            </w:r>
          </w:p>
          <w:tbl>
            <w:tblPr>
              <w:tblStyle w:val="Table"/>
              <w:tblW w:type="pct" w:w="5000"/>
              <w:tblLayout w:type="fixed"/>
              <w:tblLook w:firstRow="1" w:lastRow="0" w:firstColumn="0" w:lastColumn="0" w:noHBand="0" w:noVBand="0" w:val="0020"/>
            </w:tblPr>
            <w:tblGrid>
              <w:gridCol w:w="2688"/>
              <w:gridCol w:w="435"/>
              <w:gridCol w:w="435"/>
              <w:gridCol w:w="1089"/>
              <w:gridCol w:w="1089"/>
              <w:gridCol w:w="1089"/>
              <w:gridCol w:w="1089"/>
            </w:tblGrid>
            <w:tr>
              <w:trPr>
                <w:tblHeader w:val="on"/>
              </w:trPr>
              <w:tc>
                <w:tcPr/>
                <w:p>
                  <w:pPr>
                    <w:pStyle w:val="Compact"/>
                    <w:jc w:val="left"/>
                    <w:jc w:val="center"/>
                  </w:pPr>
                  <w:r>
                    <w:t xml:space="preserve">Scenario</w:t>
                  </w:r>
                </w:p>
              </w:tc>
              <w:tc>
                <w:tcPr/>
                <w:p>
                  <w:pPr>
                    <w:pStyle w:val="Compact"/>
                    <w:jc w:val="right"/>
                    <w:jc w:val="center"/>
                  </w:pPr>
                  <w:r>
                    <w:t xml:space="preserve">R</w:t>
                  </w:r>
                </w:p>
              </w:tc>
              <w:tc>
                <w:tcPr/>
                <w:p>
                  <w:pPr>
                    <w:pStyle w:val="Compact"/>
                    <w:jc w:val="right"/>
                    <w:jc w:val="center"/>
                  </w:pPr>
                  <w:r>
                    <w:t xml:space="preserve">k</w:t>
                  </w:r>
                </w:p>
              </w:tc>
              <w:tc>
                <w:tcPr/>
                <w:p>
                  <w:pPr>
                    <w:pStyle w:val="Compact"/>
                    <w:jc w:val="right"/>
                    <w:jc w:val="center"/>
                  </w:pPr>
                  <w:r>
                    <w:t xml:space="preserve">R lower 95% CI</w:t>
                  </w:r>
                </w:p>
              </w:tc>
              <w:tc>
                <w:tcPr/>
                <w:p>
                  <w:pPr>
                    <w:pStyle w:val="Compact"/>
                    <w:jc w:val="right"/>
                    <w:jc w:val="center"/>
                  </w:pPr>
                  <w:r>
                    <w:t xml:space="preserve">k lower 95% CI</w:t>
                  </w:r>
                </w:p>
              </w:tc>
              <w:tc>
                <w:tcPr/>
                <w:p>
                  <w:pPr>
                    <w:pStyle w:val="Compact"/>
                    <w:jc w:val="right"/>
                    <w:jc w:val="center"/>
                  </w:pPr>
                  <w:r>
                    <w:t xml:space="preserve">R upper 95% CI</w:t>
                  </w:r>
                </w:p>
              </w:tc>
              <w:tc>
                <w:tcPr/>
                <w:p>
                  <w:pPr>
                    <w:pStyle w:val="Compact"/>
                    <w:jc w:val="right"/>
                    <w:jc w:val="center"/>
                  </w:pPr>
                  <w:r>
                    <w:t xml:space="preserve">k upper 95% CI</w:t>
                  </w:r>
                </w:p>
              </w:tc>
            </w:tr>
            <w:tr>
              <w:tc>
                <w:tcPr/>
                <w:p>
                  <w:pPr>
                    <w:pStyle w:val="Compact"/>
                    <w:jc w:val="left"/>
                    <w:jc w:val="center"/>
                  </w:pPr>
                  <w:r>
                    <w:t xml:space="preserve">Baseline (BBC Pandemic, unmodified)</w:t>
                  </w:r>
                </w:p>
              </w:tc>
              <w:tc>
                <w:tcPr/>
                <w:p>
                  <w:pPr>
                    <w:pStyle w:val="Compact"/>
                    <w:jc w:val="right"/>
                    <w:jc w:val="center"/>
                  </w:pPr>
                  <w:r>
                    <w:t xml:space="preserve">2.540</w:t>
                  </w:r>
                </w:p>
              </w:tc>
              <w:tc>
                <w:tcPr/>
                <w:p>
                  <w:pPr>
                    <w:pStyle w:val="Compact"/>
                    <w:jc w:val="right"/>
                    <w:jc w:val="center"/>
                  </w:pPr>
                  <w:r>
                    <w:t xml:space="preserve">0.484</w:t>
                  </w:r>
                </w:p>
              </w:tc>
              <w:tc>
                <w:tcPr/>
                <w:p>
                  <w:pPr>
                    <w:pStyle w:val="Compact"/>
                    <w:jc w:val="right"/>
                    <w:jc w:val="center"/>
                  </w:pPr>
                  <w:r>
                    <w:t xml:space="preserve">2.448</w:t>
                  </w:r>
                </w:p>
              </w:tc>
              <w:tc>
                <w:tcPr/>
                <w:p>
                  <w:pPr>
                    <w:pStyle w:val="Compact"/>
                    <w:jc w:val="right"/>
                    <w:jc w:val="center"/>
                  </w:pPr>
                  <w:r>
                    <w:t xml:space="preserve">0.464</w:t>
                  </w:r>
                </w:p>
              </w:tc>
              <w:tc>
                <w:tcPr/>
                <w:p>
                  <w:pPr>
                    <w:pStyle w:val="Compact"/>
                    <w:jc w:val="right"/>
                    <w:jc w:val="center"/>
                  </w:pPr>
                  <w:r>
                    <w:t xml:space="preserve">2.633</w:t>
                  </w:r>
                </w:p>
              </w:tc>
              <w:tc>
                <w:tcPr/>
                <w:p>
                  <w:pPr>
                    <w:pStyle w:val="Compact"/>
                    <w:jc w:val="right"/>
                    <w:jc w:val="center"/>
                  </w:pPr>
                  <w:r>
                    <w:t xml:space="preserve">0.509</w:t>
                  </w:r>
                </w:p>
              </w:tc>
            </w:tr>
            <w:tr>
              <w:tc>
                <w:tcPr/>
                <w:p>
                  <w:pPr>
                    <w:pStyle w:val="Compact"/>
                    <w:jc w:val="left"/>
                    <w:jc w:val="center"/>
                  </w:pPr>
                  <w:r>
                    <w:t xml:space="preserve">Sensitivity (GPD upper tail imputed)</w:t>
                  </w:r>
                </w:p>
              </w:tc>
              <w:tc>
                <w:tcPr/>
                <w:p>
                  <w:pPr>
                    <w:pStyle w:val="Compact"/>
                    <w:jc w:val="right"/>
                    <w:jc w:val="center"/>
                  </w:pPr>
                  <w:r>
                    <w:t xml:space="preserve">2.731</w:t>
                  </w:r>
                </w:p>
              </w:tc>
              <w:tc>
                <w:tcPr/>
                <w:p>
                  <w:pPr>
                    <w:pStyle w:val="Compact"/>
                    <w:jc w:val="right"/>
                    <w:jc w:val="center"/>
                  </w:pPr>
                  <w:r>
                    <w:t xml:space="preserve">0.455</w:t>
                  </w:r>
                </w:p>
              </w:tc>
              <w:tc>
                <w:tcPr/>
                <w:p>
                  <w:pPr>
                    <w:pStyle w:val="Compact"/>
                    <w:jc w:val="right"/>
                    <w:jc w:val="center"/>
                  </w:pPr>
                  <w:r>
                    <w:t xml:space="preserve">2.568</w:t>
                  </w:r>
                </w:p>
              </w:tc>
              <w:tc>
                <w:tcPr/>
                <w:p>
                  <w:pPr>
                    <w:pStyle w:val="Compact"/>
                    <w:jc w:val="right"/>
                    <w:jc w:val="center"/>
                  </w:pPr>
                  <w:r>
                    <w:t xml:space="preserve">0.419</w:t>
                  </w:r>
                </w:p>
              </w:tc>
              <w:tc>
                <w:tcPr/>
                <w:p>
                  <w:pPr>
                    <w:pStyle w:val="Compact"/>
                    <w:jc w:val="right"/>
                    <w:jc w:val="center"/>
                  </w:pPr>
                  <w:r>
                    <w:t xml:space="preserve">2.929</w:t>
                  </w:r>
                </w:p>
              </w:tc>
              <w:tc>
                <w:tcPr/>
                <w:p>
                  <w:pPr>
                    <w:pStyle w:val="Compact"/>
                    <w:jc w:val="right"/>
                    <w:jc w:val="center"/>
                  </w:pPr>
                  <w:r>
                    <w:t xml:space="preserve">0.501</w:t>
                  </w:r>
                </w:p>
              </w:tc>
            </w:tr>
          </w:tbl>
          <w:bookmarkEnd w:id="9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tbl-s2"/>
          <w:p>
            <w:pPr>
              <w:jc w:val="center"/>
            </w:pPr>
            <w:pPr>
              <w:jc w:val="left"/>
              <w:spacing w:before="200"/>
              <w:pStyle w:val="ImageCaption"/>
            </w:pPr>
            <w:r>
              <w:t xml:space="preserve">Table 3: Sensitivity analysis of the effect on the mean and dispersion in contact rates comparing a negative binomial distribution to a zero-inflated negative binomial distribution.</w:t>
            </w:r>
          </w:p>
          <w:tbl>
            <w:tblPr>
              <w:tblStyle w:val="Table"/>
              <w:tblW w:type="pct" w:w="5000"/>
              <w:tblLayout w:type="fixed"/>
              <w:tblLook w:firstRow="1" w:lastRow="0" w:firstColumn="0" w:lastColumn="0" w:noHBand="0" w:noVBand="0" w:val="0020"/>
            </w:tblPr>
            <w:tblGrid>
              <w:gridCol w:w="922"/>
              <w:gridCol w:w="325"/>
              <w:gridCol w:w="650"/>
              <w:gridCol w:w="976"/>
              <w:gridCol w:w="759"/>
              <w:gridCol w:w="1084"/>
              <w:gridCol w:w="1356"/>
              <w:gridCol w:w="1193"/>
              <w:gridCol w:w="650"/>
            </w:tblGrid>
            <w:tr>
              <w:trPr>
                <w:tblHeader w:val="on"/>
              </w:trPr>
              <w:tc>
                <w:tcPr/>
                <w:p>
                  <w:pPr>
                    <w:pStyle w:val="Compact"/>
                    <w:jc w:val="left"/>
                    <w:jc w:val="center"/>
                  </w:pPr>
                  <w:r>
                    <w:t xml:space="preserve">Time period</w:t>
                  </w:r>
                </w:p>
              </w:tc>
              <w:tc>
                <w:tcPr/>
                <w:p>
                  <w:pPr>
                    <w:pStyle w:val="Compact"/>
                    <w:jc w:val="right"/>
                    <w:jc w:val="center"/>
                  </w:pPr>
                  <w:r>
                    <w:t xml:space="preserve">N</w:t>
                  </w:r>
                </w:p>
              </w:tc>
              <w:tc>
                <w:tcPr/>
                <w:p>
                  <w:pPr>
                    <w:pStyle w:val="Compact"/>
                    <w:jc w:val="right"/>
                    <w:jc w:val="center"/>
                  </w:pPr>
                  <w:r>
                    <w:t xml:space="preserve">NB mean (R)</w:t>
                  </w:r>
                </w:p>
              </w:tc>
              <w:tc>
                <w:tcPr/>
                <w:p>
                  <w:pPr>
                    <w:pStyle w:val="Compact"/>
                    <w:jc w:val="right"/>
                    <w:jc w:val="center"/>
                  </w:pPr>
                  <w:r>
                    <w:t xml:space="preserve">NB dispersion (k)</w:t>
                  </w:r>
                </w:p>
              </w:tc>
              <w:tc>
                <w:tcPr/>
                <w:p>
                  <w:pPr>
                    <w:pStyle w:val="Compact"/>
                    <w:jc w:val="right"/>
                    <w:jc w:val="center"/>
                  </w:pPr>
                  <w:r>
                    <w:t xml:space="preserve">ZINB mean (R)</w:t>
                  </w:r>
                </w:p>
              </w:tc>
              <w:tc>
                <w:tcPr/>
                <w:p>
                  <w:pPr>
                    <w:pStyle w:val="Compact"/>
                    <w:jc w:val="right"/>
                    <w:jc w:val="center"/>
                  </w:pPr>
                  <w:r>
                    <w:t xml:space="preserve">ZINB dispersion (k)</w:t>
                  </w:r>
                </w:p>
              </w:tc>
              <w:tc>
                <w:tcPr/>
                <w:p>
                  <w:pPr>
                    <w:pStyle w:val="Compact"/>
                    <w:jc w:val="right"/>
                    <w:jc w:val="center"/>
                  </w:pPr>
                  <w:r>
                    <w:t xml:space="preserve">ZINB zero-inflation (pi)</w:t>
                  </w:r>
                </w:p>
              </w:tc>
              <w:tc>
                <w:tcPr/>
                <w:p>
                  <w:pPr>
                    <w:pStyle w:val="Compact"/>
                    <w:jc w:val="right"/>
                    <w:jc w:val="center"/>
                  </w:pPr>
                  <w:r>
                    <w:t xml:space="preserve">Delta AIC (ZINB - NB)</w:t>
                  </w:r>
                </w:p>
              </w:tc>
              <w:tc>
                <w:tcPr/>
                <w:p>
                  <w:pPr>
                    <w:pStyle w:val="Compact"/>
                    <w:jc w:val="right"/>
                    <w:jc w:val="center"/>
                  </w:pPr>
                  <w:r>
                    <w:t xml:space="preserve">LRT p-value</w:t>
                  </w:r>
                </w:p>
              </w:tc>
            </w:tr>
            <w:tr>
              <w:tc>
                <w:tcPr/>
                <w:p>
                  <w:pPr>
                    <w:pStyle w:val="Compact"/>
                    <w:jc w:val="left"/>
                    <w:jc w:val="center"/>
                  </w:pPr>
                  <w:r>
                    <w:t xml:space="preserve">Pre-pandemic</w:t>
                  </w:r>
                </w:p>
              </w:tc>
              <w:tc>
                <w:tcPr/>
                <w:p>
                  <w:pPr>
                    <w:pStyle w:val="Compact"/>
                    <w:jc w:val="right"/>
                    <w:jc w:val="center"/>
                  </w:pPr>
                  <w:r>
                    <w:t xml:space="preserve">40162</w:t>
                  </w:r>
                </w:p>
              </w:tc>
              <w:tc>
                <w:tcPr/>
                <w:p>
                  <w:pPr>
                    <w:pStyle w:val="Compact"/>
                    <w:jc w:val="right"/>
                    <w:jc w:val="center"/>
                  </w:pPr>
                  <w:r>
                    <w:t xml:space="preserve">11.535</w:t>
                  </w:r>
                </w:p>
              </w:tc>
              <w:tc>
                <w:tcPr/>
                <w:p>
                  <w:pPr>
                    <w:pStyle w:val="Compact"/>
                    <w:jc w:val="right"/>
                    <w:jc w:val="center"/>
                  </w:pPr>
                  <w:r>
                    <w:t xml:space="preserve">1.470</w:t>
                  </w:r>
                </w:p>
              </w:tc>
              <w:tc>
                <w:tcPr/>
                <w:p>
                  <w:pPr>
                    <w:pStyle w:val="Compact"/>
                    <w:jc w:val="right"/>
                    <w:jc w:val="center"/>
                  </w:pPr>
                  <w:r>
                    <w:t xml:space="preserve">11.538</w:t>
                  </w:r>
                </w:p>
              </w:tc>
              <w:tc>
                <w:tcPr/>
                <w:p>
                  <w:pPr>
                    <w:pStyle w:val="Compact"/>
                    <w:jc w:val="right"/>
                    <w:jc w:val="center"/>
                  </w:pPr>
                  <w:r>
                    <w:t xml:space="preserve">1.469</w:t>
                  </w:r>
                </w:p>
              </w:tc>
              <w:tc>
                <w:tcPr/>
                <w:p>
                  <w:pPr>
                    <w:pStyle w:val="Compact"/>
                    <w:jc w:val="right"/>
                    <w:jc w:val="center"/>
                  </w:pPr>
                  <w:r>
                    <w:t xml:space="preserve">0</w:t>
                  </w:r>
                </w:p>
              </w:tc>
              <w:tc>
                <w:tcPr/>
                <w:p>
                  <w:pPr>
                    <w:pStyle w:val="Compact"/>
                    <w:jc w:val="right"/>
                    <w:jc w:val="center"/>
                  </w:pPr>
                  <w:r>
                    <w:t xml:space="preserve">1.999</w:t>
                  </w:r>
                </w:p>
              </w:tc>
              <w:tc>
                <w:tcPr/>
                <w:p>
                  <w:pPr>
                    <w:pStyle w:val="Compact"/>
                    <w:jc w:val="right"/>
                    <w:jc w:val="center"/>
                  </w:pPr>
                  <w:r>
                    <w:t xml:space="preserve">0.974</w:t>
                  </w:r>
                </w:p>
              </w:tc>
            </w:tr>
            <w:tr>
              <w:tc>
                <w:tcPr/>
                <w:p>
                  <w:pPr>
                    <w:pStyle w:val="Compact"/>
                    <w:jc w:val="left"/>
                    <w:jc w:val="center"/>
                  </w:pPr>
                  <w:r>
                    <w:t xml:space="preserve">1st lockdown</w:t>
                  </w:r>
                </w:p>
              </w:tc>
              <w:tc>
                <w:tcPr/>
                <w:p>
                  <w:pPr>
                    <w:pStyle w:val="Compact"/>
                    <w:jc w:val="right"/>
                    <w:jc w:val="center"/>
                  </w:pPr>
                  <w:r>
                    <w:t xml:space="preserve">15971</w:t>
                  </w:r>
                </w:p>
              </w:tc>
              <w:tc>
                <w:tcPr/>
                <w:p>
                  <w:pPr>
                    <w:pStyle w:val="Compact"/>
                    <w:jc w:val="right"/>
                    <w:jc w:val="center"/>
                  </w:pPr>
                  <w:r>
                    <w:t xml:space="preserve">2.602</w:t>
                  </w:r>
                </w:p>
              </w:tc>
              <w:tc>
                <w:tcPr/>
                <w:p>
                  <w:pPr>
                    <w:pStyle w:val="Compact"/>
                    <w:jc w:val="right"/>
                    <w:jc w:val="center"/>
                  </w:pPr>
                  <w:r>
                    <w:t xml:space="preserve">1.583</w:t>
                  </w:r>
                </w:p>
              </w:tc>
              <w:tc>
                <w:tcPr/>
                <w:p>
                  <w:pPr>
                    <w:pStyle w:val="Compact"/>
                    <w:jc w:val="right"/>
                    <w:jc w:val="center"/>
                  </w:pPr>
                  <w:r>
                    <w:t xml:space="preserve">2.601</w:t>
                  </w:r>
                </w:p>
              </w:tc>
              <w:tc>
                <w:tcPr/>
                <w:p>
                  <w:pPr>
                    <w:pStyle w:val="Compact"/>
                    <w:jc w:val="right"/>
                    <w:jc w:val="center"/>
                  </w:pPr>
                  <w:r>
                    <w:t xml:space="preserve">1.582</w:t>
                  </w:r>
                </w:p>
              </w:tc>
              <w:tc>
                <w:tcPr/>
                <w:p>
                  <w:pPr>
                    <w:pStyle w:val="Compact"/>
                    <w:jc w:val="right"/>
                    <w:jc w:val="center"/>
                  </w:pPr>
                  <w:r>
                    <w:t xml:space="preserve">0</w:t>
                  </w:r>
                </w:p>
              </w:tc>
              <w:tc>
                <w:tcPr/>
                <w:p>
                  <w:pPr>
                    <w:pStyle w:val="Compact"/>
                    <w:jc w:val="right"/>
                    <w:jc w:val="center"/>
                  </w:pPr>
                  <w:r>
                    <w:t xml:space="preserve">2.000</w:t>
                  </w:r>
                </w:p>
              </w:tc>
              <w:tc>
                <w:tcPr/>
                <w:p>
                  <w:pPr>
                    <w:pStyle w:val="Compact"/>
                    <w:jc w:val="right"/>
                    <w:jc w:val="center"/>
                  </w:pPr>
                  <w:r>
                    <w:t xml:space="preserve">0.991</w:t>
                  </w:r>
                </w:p>
              </w:tc>
            </w:tr>
            <w:tr>
              <w:tc>
                <w:tcPr/>
                <w:p>
                  <w:pPr>
                    <w:pStyle w:val="Compact"/>
                    <w:jc w:val="left"/>
                    <w:jc w:val="center"/>
                  </w:pPr>
                  <w:r>
                    <w:t xml:space="preserve">School reopening</w:t>
                  </w:r>
                </w:p>
              </w:tc>
              <w:tc>
                <w:tcPr/>
                <w:p>
                  <w:pPr>
                    <w:pStyle w:val="Compact"/>
                    <w:jc w:val="right"/>
                    <w:jc w:val="center"/>
                  </w:pPr>
                  <w:r>
                    <w:t xml:space="preserve">21031</w:t>
                  </w:r>
                </w:p>
              </w:tc>
              <w:tc>
                <w:tcPr/>
                <w:p>
                  <w:pPr>
                    <w:pStyle w:val="Compact"/>
                    <w:jc w:val="right"/>
                    <w:jc w:val="center"/>
                  </w:pPr>
                  <w:r>
                    <w:t xml:space="preserve">6.934</w:t>
                  </w:r>
                </w:p>
              </w:tc>
              <w:tc>
                <w:tcPr/>
                <w:p>
                  <w:pPr>
                    <w:pStyle w:val="Compact"/>
                    <w:jc w:val="right"/>
                    <w:jc w:val="center"/>
                  </w:pPr>
                  <w:r>
                    <w:t xml:space="preserve">0.477</w:t>
                  </w:r>
                </w:p>
              </w:tc>
              <w:tc>
                <w:tcPr/>
                <w:p>
                  <w:pPr>
                    <w:pStyle w:val="Compact"/>
                    <w:jc w:val="right"/>
                    <w:jc w:val="center"/>
                  </w:pPr>
                  <w:r>
                    <w:t xml:space="preserve">6.932</w:t>
                  </w:r>
                </w:p>
              </w:tc>
              <w:tc>
                <w:tcPr/>
                <w:p>
                  <w:pPr>
                    <w:pStyle w:val="Compact"/>
                    <w:jc w:val="right"/>
                    <w:jc w:val="center"/>
                  </w:pPr>
                  <w:r>
                    <w:t xml:space="preserve">0.477</w:t>
                  </w:r>
                </w:p>
              </w:tc>
              <w:tc>
                <w:tcPr/>
                <w:p>
                  <w:pPr>
                    <w:pStyle w:val="Compact"/>
                    <w:jc w:val="right"/>
                    <w:jc w:val="center"/>
                  </w:pPr>
                  <w:r>
                    <w:t xml:space="preserve">0</w:t>
                  </w:r>
                </w:p>
              </w:tc>
              <w:tc>
                <w:tcPr/>
                <w:p>
                  <w:pPr>
                    <w:pStyle w:val="Compact"/>
                    <w:jc w:val="right"/>
                    <w:jc w:val="center"/>
                  </w:pPr>
                  <w:r>
                    <w:t xml:space="preserve">2.000</w:t>
                  </w:r>
                </w:p>
              </w:tc>
              <w:tc>
                <w:tcPr/>
                <w:p>
                  <w:pPr>
                    <w:pStyle w:val="Compact"/>
                    <w:jc w:val="right"/>
                    <w:jc w:val="center"/>
                  </w:pPr>
                  <w:r>
                    <w:t xml:space="preserve">1.000</w:t>
                  </w:r>
                </w:p>
              </w:tc>
            </w:tr>
          </w:tbl>
          <w:bookmarkEnd w:id="94"/>
          <w:p/>
        </w:tc>
      </w:tr>
    </w:tbl>
    <w:bookmarkEnd w:id="95"/>
    <w:bookmarkStart w:id="177" w:name="references"/>
    <w:p>
      <w:pPr>
        <w:pStyle w:val="Heading2"/>
      </w:pPr>
      <w:r>
        <w:t xml:space="preserve">References</w:t>
      </w:r>
    </w:p>
    <w:bookmarkStart w:id="176" w:name="refs"/>
    <w:bookmarkStart w:id="97"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96">
        <w:r>
          <w:rPr>
            <w:rStyle w:val="Hyperlink"/>
          </w:rPr>
          <w:t xml:space="preserve">10.12688/wellcomeopenres.15842.3</w:t>
        </w:r>
      </w:hyperlink>
    </w:p>
    <w:bookmarkEnd w:id="97"/>
    <w:bookmarkStart w:id="99" w:name="ref-chen2021"/>
    <w:p>
      <w:pPr>
        <w:pStyle w:val="Bibliography"/>
      </w:pPr>
      <w:r>
        <w:t xml:space="preserve">2.</w:t>
      </w:r>
      <w:r>
        <w:t xml:space="preserve"> </w:t>
      </w:r>
      <w:r>
        <w:t xml:space="preserve">	</w:t>
      </w:r>
      <w:r>
        <w:t xml:space="preserve">Chen PZ et al.</w:t>
      </w:r>
      <w:r>
        <w:t xml:space="preserve"> Heterogeneity in transmissibility and shedding</w:t>
      </w:r>
      <w:r>
        <w:t xml:space="preserve"> </w:t>
      </w:r>
      <w:r>
        <w:t xml:space="preserve">SARS-CoV-2</w:t>
      </w:r>
      <w:r>
        <w:t xml:space="preserve"> </w:t>
      </w:r>
      <w:r>
        <w:t xml:space="preserve">via droplets and aerosols. eLife. 2021;10: e65774. doi:</w:t>
      </w:r>
      <w:hyperlink r:id="rId98">
        <w:r>
          <w:rPr>
            <w:rStyle w:val="Hyperlink"/>
          </w:rPr>
          <w:t xml:space="preserve">10.7554/eLife.65774</w:t>
        </w:r>
      </w:hyperlink>
    </w:p>
    <w:bookmarkEnd w:id="99"/>
    <w:bookmarkStart w:id="101"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100">
        <w:r>
          <w:rPr>
            <w:rStyle w:val="Hyperlink"/>
          </w:rPr>
          <w:t xml:space="preserve">10.7554/eLife.63537</w:t>
        </w:r>
      </w:hyperlink>
    </w:p>
    <w:bookmarkEnd w:id="101"/>
    <w:bookmarkStart w:id="103"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102">
        <w:r>
          <w:rPr>
            <w:rStyle w:val="Hyperlink"/>
          </w:rPr>
          <w:t xml:space="preserve">10.1101/2020.12.08.20246082</w:t>
        </w:r>
      </w:hyperlink>
    </w:p>
    <w:bookmarkEnd w:id="103"/>
    <w:bookmarkStart w:id="105" w:name="ref-killingley2022"/>
    <w:p>
      <w:pPr>
        <w:pStyle w:val="Bibliography"/>
      </w:pPr>
      <w:r>
        <w:t xml:space="preserve">5.</w:t>
      </w:r>
      <w:r>
        <w:t xml:space="preserve"> </w:t>
      </w:r>
      <w:r>
        <w:t xml:space="preserve">	</w:t>
      </w:r>
      <w:r>
        <w:t xml:space="preserve">Killingley B et al.</w:t>
      </w:r>
      <w:r>
        <w:t xml:space="preserve"> Safety, tolerability and viral kinetics during</w:t>
      </w:r>
      <w:r>
        <w:t xml:space="preserve"> </w:t>
      </w:r>
      <w:r>
        <w:t xml:space="preserve">SARS-CoV-2</w:t>
      </w:r>
      <w:r>
        <w:t xml:space="preserve"> </w:t>
      </w:r>
      <w:r>
        <w:t xml:space="preserve">human challenge. Nature Medicine. 2022;28: 1031–1041. doi:</w:t>
      </w:r>
      <w:hyperlink r:id="rId104">
        <w:r>
          <w:rPr>
            <w:rStyle w:val="Hyperlink"/>
          </w:rPr>
          <w:t xml:space="preserve">10.1038/s41591-022-01780-9</w:t>
        </w:r>
      </w:hyperlink>
    </w:p>
    <w:bookmarkEnd w:id="105"/>
    <w:bookmarkStart w:id="107" w:name="ref-ke2022"/>
    <w:p>
      <w:pPr>
        <w:pStyle w:val="Bibliography"/>
      </w:pPr>
      <w:r>
        <w:t xml:space="preserve">6.</w:t>
      </w:r>
      <w:r>
        <w:t xml:space="preserve"> </w:t>
      </w:r>
      <w:r>
        <w:t xml:space="preserve">	</w:t>
      </w:r>
      <w:r>
        <w:t xml:space="preserve">Ke R et al.</w:t>
      </w:r>
      <w:r>
        <w:t xml:space="preserve"> Daily longitudinal sampling of</w:t>
      </w:r>
      <w:r>
        <w:t xml:space="preserve"> </w:t>
      </w:r>
      <w:r>
        <w:t xml:space="preserve">SARS-CoV-2</w:t>
      </w:r>
      <w:r>
        <w:t xml:space="preserve"> </w:t>
      </w:r>
      <w:r>
        <w:t xml:space="preserve">infection reveals substantial heterogeneity in infectiousness. Nature Microbiology. 2022;7: 640–652. doi:</w:t>
      </w:r>
      <w:hyperlink r:id="rId106">
        <w:r>
          <w:rPr>
            <w:rStyle w:val="Hyperlink"/>
          </w:rPr>
          <w:t xml:space="preserve">10.1038/s41564-022-01105-x</w:t>
        </w:r>
      </w:hyperlink>
    </w:p>
    <w:bookmarkEnd w:id="107"/>
    <w:bookmarkStart w:id="109"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108">
        <w:r>
          <w:rPr>
            <w:rStyle w:val="Hyperlink"/>
          </w:rPr>
          <w:t xml:space="preserve">10.1016/j.epidem.2018.03.003</w:t>
        </w:r>
      </w:hyperlink>
    </w:p>
    <w:bookmarkEnd w:id="109"/>
    <w:bookmarkStart w:id="111" w:name="ref-klepac2020"/>
    <w:p>
      <w:pPr>
        <w:pStyle w:val="Bibliography"/>
      </w:pPr>
      <w:r>
        <w:t xml:space="preserve">8.</w:t>
      </w:r>
      <w:r>
        <w:t xml:space="preserve"> </w:t>
      </w:r>
      <w:r>
        <w:t xml:space="preserve">	</w:t>
      </w:r>
      <w:r>
        <w:t xml:space="preserve">Klepac P et al.</w:t>
      </w:r>
      <w:r>
        <w:t xml:space="preserve"> Contacts in context: Large-scale setting-specific social mixing matrices from the</w:t>
      </w:r>
      <w:r>
        <w:t xml:space="preserve"> </w:t>
      </w:r>
      <w:r>
        <w:t xml:space="preserve">BBC Pandemic</w:t>
      </w:r>
      <w:r>
        <w:t xml:space="preserve"> </w:t>
      </w:r>
      <w:r>
        <w:t xml:space="preserve">project. medRxiv. 2020. doi:</w:t>
      </w:r>
      <w:hyperlink r:id="rId110">
        <w:r>
          <w:rPr>
            <w:rStyle w:val="Hyperlink"/>
          </w:rPr>
          <w:t xml:space="preserve">10.1101/2020.02.16.20023754</w:t>
        </w:r>
      </w:hyperlink>
    </w:p>
    <w:bookmarkEnd w:id="111"/>
    <w:bookmarkStart w:id="113" w:name="ref-kucharski2020"/>
    <w:p>
      <w:pPr>
        <w:pStyle w:val="Bibliography"/>
      </w:pPr>
      <w:r>
        <w:t xml:space="preserve">9.</w:t>
      </w:r>
      <w:r>
        <w:t xml:space="preserve"> </w:t>
      </w:r>
      <w:r>
        <w:t xml:space="preserve">	</w:t>
      </w:r>
      <w:r>
        <w:t xml:space="preserve">Kucharski AJ et al.</w:t>
      </w:r>
      <w:r>
        <w:t xml:space="preserve">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112">
        <w:r>
          <w:rPr>
            <w:rStyle w:val="Hyperlink"/>
          </w:rPr>
          <w:t xml:space="preserve">10.1016/S1473-3099(20)30457-6</w:t>
        </w:r>
      </w:hyperlink>
    </w:p>
    <w:bookmarkEnd w:id="113"/>
    <w:bookmarkStart w:id="115" w:name="ref-mossong2008"/>
    <w:p>
      <w:pPr>
        <w:pStyle w:val="Bibliography"/>
      </w:pPr>
      <w:r>
        <w:t xml:space="preserve">10.</w:t>
      </w:r>
      <w:r>
        <w:t xml:space="preserve"> </w:t>
      </w:r>
      <w:r>
        <w:t xml:space="preserve">	</w:t>
      </w:r>
      <w:r>
        <w:t xml:space="preserve">Mossong J et al.</w:t>
      </w:r>
      <w:r>
        <w:t xml:space="preserve"> Social contacts and mixing patterns relevant to the spread of infectious diseases. PLOS Medicine. 2008;5: e74. doi:</w:t>
      </w:r>
      <w:hyperlink r:id="rId114">
        <w:r>
          <w:rPr>
            <w:rStyle w:val="Hyperlink"/>
          </w:rPr>
          <w:t xml:space="preserve">10.1371/journal.pmed.0050074</w:t>
        </w:r>
      </w:hyperlink>
    </w:p>
    <w:bookmarkEnd w:id="115"/>
    <w:bookmarkStart w:id="117" w:name="ref-gimma2022"/>
    <w:p>
      <w:pPr>
        <w:pStyle w:val="Bibliography"/>
      </w:pPr>
      <w:r>
        <w:t xml:space="preserve">11.</w:t>
      </w:r>
      <w:r>
        <w:t xml:space="preserve"> </w:t>
      </w:r>
      <w:r>
        <w:t xml:space="preserve">	</w:t>
      </w:r>
      <w:r>
        <w:t xml:space="preserve">Gimma A et al.</w:t>
      </w:r>
      <w:r>
        <w:t xml:space="preserve">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116">
        <w:r>
          <w:rPr>
            <w:rStyle w:val="Hyperlink"/>
          </w:rPr>
          <w:t xml:space="preserve">10.1371/journal.pmed.1003907</w:t>
        </w:r>
      </w:hyperlink>
    </w:p>
    <w:bookmarkEnd w:id="117"/>
    <w:bookmarkStart w:id="119" w:name="ref-jarvis2020"/>
    <w:p>
      <w:pPr>
        <w:pStyle w:val="Bibliography"/>
      </w:pPr>
      <w:r>
        <w:t xml:space="preserve">12.</w:t>
      </w:r>
      <w:r>
        <w:t xml:space="preserve"> </w:t>
      </w:r>
      <w:r>
        <w:t xml:space="preserve">	</w:t>
      </w:r>
      <w:r>
        <w:t xml:space="preserve">Jarvis CI et al.</w:t>
      </w:r>
      <w:r>
        <w:t xml:space="preserve">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118">
        <w:r>
          <w:rPr>
            <w:rStyle w:val="Hyperlink"/>
          </w:rPr>
          <w:t xml:space="preserve">10.1186/s12916-020-01597-8</w:t>
        </w:r>
      </w:hyperlink>
    </w:p>
    <w:bookmarkEnd w:id="119"/>
    <w:bookmarkStart w:id="121" w:name="ref-kissler2021"/>
    <w:p>
      <w:pPr>
        <w:pStyle w:val="Bibliography"/>
      </w:pPr>
      <w:r>
        <w:t xml:space="preserve">13.</w:t>
      </w:r>
      <w:r>
        <w:t xml:space="preserve"> </w:t>
      </w:r>
      <w:r>
        <w:t xml:space="preserve">	</w:t>
      </w:r>
      <w:r>
        <w:t xml:space="preserve">Kissler SM et al.</w:t>
      </w:r>
      <w:r>
        <w:t xml:space="preserve"> Viral dynamics of acute</w:t>
      </w:r>
      <w:r>
        <w:t xml:space="preserve"> </w:t>
      </w:r>
      <w:r>
        <w:t xml:space="preserve">SARS-CoV-2</w:t>
      </w:r>
      <w:r>
        <w:t xml:space="preserve"> </w:t>
      </w:r>
      <w:r>
        <w:t xml:space="preserve">infection and applications to diagnostic and public health strategies. PLOS Biology. 2021;19: e3001333. doi:</w:t>
      </w:r>
      <w:hyperlink r:id="rId120">
        <w:r>
          <w:rPr>
            <w:rStyle w:val="Hyperlink"/>
          </w:rPr>
          <w:t xml:space="preserve">10.1371/journal.pbio.3001333</w:t>
        </w:r>
      </w:hyperlink>
    </w:p>
    <w:bookmarkEnd w:id="121"/>
    <w:bookmarkStart w:id="123" w:name="ref-pickering2021"/>
    <w:p>
      <w:pPr>
        <w:pStyle w:val="Bibliography"/>
      </w:pPr>
      <w:r>
        <w:t xml:space="preserve">14.</w:t>
      </w:r>
      <w:r>
        <w:t xml:space="preserve"> </w:t>
      </w:r>
      <w:r>
        <w:t xml:space="preserve">	</w:t>
      </w:r>
      <w:r>
        <w:t xml:space="preserve">Pickering S et al.</w:t>
      </w:r>
      <w:r>
        <w:t xml:space="preserve">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122">
        <w:r>
          <w:rPr>
            <w:rStyle w:val="Hyperlink"/>
          </w:rPr>
          <w:t xml:space="preserve">10.1016/S2666-5247(21)00143-9</w:t>
        </w:r>
      </w:hyperlink>
    </w:p>
    <w:bookmarkEnd w:id="123"/>
    <w:bookmarkStart w:id="125" w:name="ref-drain2023"/>
    <w:p>
      <w:pPr>
        <w:pStyle w:val="Bibliography"/>
      </w:pPr>
      <w:r>
        <w:t xml:space="preserve">15.</w:t>
      </w:r>
      <w:r>
        <w:t xml:space="preserve"> </w:t>
      </w:r>
      <w:r>
        <w:t xml:space="preserve">	</w:t>
      </w:r>
      <w:r>
        <w:t xml:space="preserve">Drain PK et al.</w:t>
      </w:r>
      <w:r>
        <w:t xml:space="preserve">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124">
        <w:r>
          <w:rPr>
            <w:rStyle w:val="Hyperlink"/>
          </w:rPr>
          <w:t xml:space="preserve">10.1016/j.jcv.2023.105420</w:t>
        </w:r>
      </w:hyperlink>
    </w:p>
    <w:bookmarkEnd w:id="125"/>
    <w:bookmarkStart w:id="127" w:name="ref-davies2020"/>
    <w:p>
      <w:pPr>
        <w:pStyle w:val="Bibliography"/>
      </w:pPr>
      <w:r>
        <w:t xml:space="preserve">16.</w:t>
      </w:r>
      <w:r>
        <w:t xml:space="preserve"> </w:t>
      </w:r>
      <w:r>
        <w:t xml:space="preserve">	</w:t>
      </w:r>
      <w:r>
        <w:t xml:space="preserve">Davies NG et al.</w:t>
      </w:r>
      <w:r>
        <w:t xml:space="preserve">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126">
        <w:r>
          <w:rPr>
            <w:rStyle w:val="Hyperlink"/>
          </w:rPr>
          <w:t xml:space="preserve">10.1016/S2468-2667(20)30133-X</w:t>
        </w:r>
      </w:hyperlink>
    </w:p>
    <w:bookmarkEnd w:id="127"/>
    <w:bookmarkStart w:id="129"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128">
        <w:r>
          <w:rPr>
            <w:rStyle w:val="Hyperlink"/>
          </w:rPr>
          <w:t xml:space="preserve">https://www.gov.uk/guidance/the-r-number-in-the-uk</w:t>
        </w:r>
      </w:hyperlink>
    </w:p>
    <w:bookmarkEnd w:id="129"/>
    <w:bookmarkStart w:id="131" w:name="ref-lau2020"/>
    <w:p>
      <w:pPr>
        <w:pStyle w:val="Bibliography"/>
      </w:pPr>
      <w:r>
        <w:t xml:space="preserve">18.</w:t>
      </w:r>
      <w:r>
        <w:t xml:space="preserve"> </w:t>
      </w:r>
      <w:r>
        <w:t xml:space="preserve">	</w:t>
      </w:r>
      <w:r>
        <w:t xml:space="preserve">Lau MSY et al.</w:t>
      </w:r>
      <w:r>
        <w:t xml:space="preserve">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130">
        <w:r>
          <w:rPr>
            <w:rStyle w:val="Hyperlink"/>
          </w:rPr>
          <w:t xml:space="preserve">10.1073/pnas.2011802117</w:t>
        </w:r>
      </w:hyperlink>
    </w:p>
    <w:bookmarkEnd w:id="131"/>
    <w:bookmarkStart w:id="133" w:name="ref-kremer2021"/>
    <w:p>
      <w:pPr>
        <w:pStyle w:val="Bibliography"/>
      </w:pPr>
      <w:r>
        <w:t xml:space="preserve">19.</w:t>
      </w:r>
      <w:r>
        <w:t xml:space="preserve"> </w:t>
      </w:r>
      <w:r>
        <w:t xml:space="preserve">	</w:t>
      </w:r>
      <w:r>
        <w:t xml:space="preserve">Kremer C et al.</w:t>
      </w:r>
      <w:r>
        <w:t xml:space="preserve">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132">
        <w:r>
          <w:rPr>
            <w:rStyle w:val="Hyperlink"/>
          </w:rPr>
          <w:t xml:space="preserve">10.1038/s41598-021-93578-x</w:t>
        </w:r>
      </w:hyperlink>
    </w:p>
    <w:bookmarkEnd w:id="133"/>
    <w:bookmarkStart w:id="135" w:name="ref-quilty2021"/>
    <w:p>
      <w:pPr>
        <w:pStyle w:val="Bibliography"/>
      </w:pPr>
      <w:r>
        <w:t xml:space="preserve">20.</w:t>
      </w:r>
      <w:r>
        <w:t xml:space="preserve"> </w:t>
      </w:r>
      <w:r>
        <w:t xml:space="preserve">	</w:t>
      </w:r>
      <w:r>
        <w:t xml:space="preserve">Quilty BJ et al.</w:t>
      </w:r>
      <w:r>
        <w:t xml:space="preserve"> Quarantine and testing strategies in contact tracing for</w:t>
      </w:r>
      <w:r>
        <w:t xml:space="preserve"> </w:t>
      </w:r>
      <w:r>
        <w:t xml:space="preserve">SARS-CoV-2</w:t>
      </w:r>
      <w:r>
        <w:t xml:space="preserve">: A modelling study. Lancet Public Health. 2021. doi:</w:t>
      </w:r>
      <w:hyperlink r:id="rId134">
        <w:r>
          <w:rPr>
            <w:rStyle w:val="Hyperlink"/>
          </w:rPr>
          <w:t xml:space="preserve">10.1016/S2468-2667(20)30308-X</w:t>
        </w:r>
      </w:hyperlink>
    </w:p>
    <w:bookmarkEnd w:id="135"/>
    <w:bookmarkStart w:id="137" w:name="ref-sun2021"/>
    <w:p>
      <w:pPr>
        <w:pStyle w:val="Bibliography"/>
      </w:pPr>
      <w:r>
        <w:t xml:space="preserve">21.</w:t>
      </w:r>
      <w:r>
        <w:t xml:space="preserve"> </w:t>
      </w:r>
      <w:r>
        <w:t xml:space="preserve">	</w:t>
      </w:r>
      <w:r>
        <w:t xml:space="preserve">Sun K et al.</w:t>
      </w:r>
      <w:r>
        <w:t xml:space="preserve"> Transmission heterogeneities, kinetics, and controllability of</w:t>
      </w:r>
      <w:r>
        <w:t xml:space="preserve"> </w:t>
      </w:r>
      <w:r>
        <w:t xml:space="preserve">SARS-CoV-2</w:t>
      </w:r>
      <w:r>
        <w:t xml:space="preserve">. Science. 2021;371: eabe2424. doi:</w:t>
      </w:r>
      <w:hyperlink r:id="rId136">
        <w:r>
          <w:rPr>
            <w:rStyle w:val="Hyperlink"/>
          </w:rPr>
          <w:t xml:space="preserve">10.1126/science.abe2424</w:t>
        </w:r>
      </w:hyperlink>
    </w:p>
    <w:bookmarkEnd w:id="137"/>
    <w:bookmarkStart w:id="139"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138">
        <w:r>
          <w:rPr>
            <w:rStyle w:val="Hyperlink"/>
          </w:rPr>
          <w:t xml:space="preserve">10.1073/pnas.2111477118</w:t>
        </w:r>
      </w:hyperlink>
    </w:p>
    <w:bookmarkEnd w:id="139"/>
    <w:bookmarkStart w:id="141" w:name="ref-hart2023"/>
    <w:p>
      <w:pPr>
        <w:pStyle w:val="Bibliography"/>
      </w:pPr>
      <w:r>
        <w:t xml:space="preserve">23.</w:t>
      </w:r>
      <w:r>
        <w:t xml:space="preserve"> </w:t>
      </w:r>
      <w:r>
        <w:t xml:space="preserve">	</w:t>
      </w:r>
      <w:r>
        <w:t xml:space="preserve">Hart WS et al.</w:t>
      </w:r>
      <w:r>
        <w:t xml:space="preserve">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40">
        <w:r>
          <w:rPr>
            <w:rStyle w:val="Hyperlink"/>
          </w:rPr>
          <w:t xml:space="preserve">10.1073/pnas.2305451120</w:t>
        </w:r>
      </w:hyperlink>
    </w:p>
    <w:bookmarkEnd w:id="141"/>
    <w:bookmarkStart w:id="143"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42">
        <w:r>
          <w:rPr>
            <w:rStyle w:val="Hyperlink"/>
          </w:rPr>
          <w:t xml:space="preserve">10.7554/eLife.69302</w:t>
        </w:r>
      </w:hyperlink>
    </w:p>
    <w:bookmarkEnd w:id="143"/>
    <w:bookmarkStart w:id="145" w:name="ref-kendall2024"/>
    <w:p>
      <w:pPr>
        <w:pStyle w:val="Bibliography"/>
      </w:pPr>
      <w:r>
        <w:t xml:space="preserve">25.</w:t>
      </w:r>
      <w:r>
        <w:t xml:space="preserve"> </w:t>
      </w:r>
      <w:r>
        <w:t xml:space="preserve">	</w:t>
      </w:r>
      <w:r>
        <w:t xml:space="preserve">Kendall M et al.</w:t>
      </w:r>
      <w:r>
        <w:t xml:space="preserve"> Drivers of epidemic dynamics in real time from daily digital</w:t>
      </w:r>
      <w:r>
        <w:t xml:space="preserve"> </w:t>
      </w:r>
      <w:r>
        <w:t xml:space="preserve">COVID-19</w:t>
      </w:r>
      <w:r>
        <w:t xml:space="preserve"> </w:t>
      </w:r>
      <w:r>
        <w:t xml:space="preserve">measurements. Science. 2024;385: eadm8103. doi:</w:t>
      </w:r>
      <w:hyperlink r:id="rId144">
        <w:r>
          <w:rPr>
            <w:rStyle w:val="Hyperlink"/>
          </w:rPr>
          <w:t xml:space="preserve">10.1126/science.adm8103</w:t>
        </w:r>
      </w:hyperlink>
    </w:p>
    <w:bookmarkEnd w:id="145"/>
    <w:bookmarkStart w:id="147" w:name="ref-ferretti2024"/>
    <w:p>
      <w:pPr>
        <w:pStyle w:val="Bibliography"/>
      </w:pPr>
      <w:r>
        <w:t xml:space="preserve">26.</w:t>
      </w:r>
      <w:r>
        <w:t xml:space="preserve"> </w:t>
      </w:r>
      <w:r>
        <w:t xml:space="preserve">	</w:t>
      </w:r>
      <w:r>
        <w:t xml:space="preserve">Ferretti L et al.</w:t>
      </w:r>
      <w:r>
        <w:t xml:space="preserve"> Digital measurement of</w:t>
      </w:r>
      <w:r>
        <w:t xml:space="preserve"> </w:t>
      </w:r>
      <w:r>
        <w:t xml:space="preserve">SARS-CoV-2</w:t>
      </w:r>
      <w:r>
        <w:t xml:space="preserve"> </w:t>
      </w:r>
      <w:r>
        <w:t xml:space="preserve">transmission risk from 7 million contacts. Nature. 2024;626: 145–150. doi:</w:t>
      </w:r>
      <w:hyperlink r:id="rId146">
        <w:r>
          <w:rPr>
            <w:rStyle w:val="Hyperlink"/>
          </w:rPr>
          <w:t xml:space="preserve">10.1038/s41586-023-06952-2</w:t>
        </w:r>
      </w:hyperlink>
    </w:p>
    <w:bookmarkEnd w:id="147"/>
    <w:bookmarkStart w:id="149"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48">
        <w:r>
          <w:rPr>
            <w:rStyle w:val="Hyperlink"/>
          </w:rPr>
          <w:t xml:space="preserve">10.1126/sciadv.adk5108</w:t>
        </w:r>
      </w:hyperlink>
    </w:p>
    <w:bookmarkEnd w:id="149"/>
    <w:bookmarkStart w:id="151" w:name="ref-chapman2021"/>
    <w:p>
      <w:pPr>
        <w:pStyle w:val="Bibliography"/>
      </w:pPr>
      <w:r>
        <w:t xml:space="preserve">28.</w:t>
      </w:r>
      <w:r>
        <w:t xml:space="preserve"> </w:t>
      </w:r>
      <w:r>
        <w:t xml:space="preserve">	</w:t>
      </w:r>
      <w:r>
        <w:t xml:space="preserve">Chapman L, Kucharski A, Munday J, Gimma A, Wong K, Edmunds J. Analysis of individuals with a high number of contacts in the CoMix study. 2021. Available:</w:t>
      </w:r>
      <w:r>
        <w:t xml:space="preserve"> </w:t>
      </w:r>
      <w:hyperlink r:id="rId150">
        <w:r>
          <w:rPr>
            <w:rStyle w:val="Hyperlink"/>
          </w:rPr>
          <w:t xml:space="preserve">https://assets.publishing.service.gov.uk/media/610c0fbee90e0706cc852394/S1281_CoMix_Report_-_high_numbers_of_contacts_SAGE_91.pdf</w:t>
        </w:r>
      </w:hyperlink>
    </w:p>
    <w:bookmarkEnd w:id="151"/>
    <w:bookmarkStart w:id="153" w:name="ref-ghafari2024"/>
    <w:p>
      <w:pPr>
        <w:pStyle w:val="Bibliography"/>
      </w:pPr>
      <w:r>
        <w:t xml:space="preserve">29.</w:t>
      </w:r>
      <w:r>
        <w:t xml:space="preserve"> </w:t>
      </w:r>
      <w:r>
        <w:t xml:space="preserve">	</w:t>
      </w:r>
      <w:r>
        <w:t xml:space="preserve">Ghafari M et al.</w:t>
      </w:r>
      <w:r>
        <w:t xml:space="preserve"> Prevalence of persistent</w:t>
      </w:r>
      <w:r>
        <w:t xml:space="preserve"> </w:t>
      </w:r>
      <w:r>
        <w:t xml:space="preserve">SARS-CoV-2</w:t>
      </w:r>
      <w:r>
        <w:t xml:space="preserve"> </w:t>
      </w:r>
      <w:r>
        <w:t xml:space="preserve">in a large community surveillance study. Nature. 2024;626: 1094–1101. doi:</w:t>
      </w:r>
      <w:hyperlink r:id="rId152">
        <w:r>
          <w:rPr>
            <w:rStyle w:val="Hyperlink"/>
          </w:rPr>
          <w:t xml:space="preserve">10.1038/s41586-024-07029-4</w:t>
        </w:r>
      </w:hyperlink>
    </w:p>
    <w:bookmarkEnd w:id="153"/>
    <w:bookmarkStart w:id="155" w:name="ref-puhach2023"/>
    <w:p>
      <w:pPr>
        <w:pStyle w:val="Bibliography"/>
      </w:pPr>
      <w:r>
        <w:t xml:space="preserve">30.</w:t>
      </w:r>
      <w:r>
        <w:t xml:space="preserve"> </w:t>
      </w:r>
      <w:r>
        <w:t xml:space="preserve">	</w:t>
      </w:r>
      <w:r>
        <w:t xml:space="preserve">Puhach O, Meyer B, Eckerle I. SARS-CoV-2 viral load and shedding kinetics. Nature Reviews Microbiology. 2023;21: 147–161. doi:</w:t>
      </w:r>
      <w:hyperlink r:id="rId154">
        <w:r>
          <w:rPr>
            <w:rStyle w:val="Hyperlink"/>
          </w:rPr>
          <w:t xml:space="preserve">10.1038/s41579-022-00822-w</w:t>
        </w:r>
      </w:hyperlink>
    </w:p>
    <w:bookmarkEnd w:id="155"/>
    <w:bookmarkStart w:id="157" w:name="ref-marks2021"/>
    <w:p>
      <w:pPr>
        <w:pStyle w:val="Bibliography"/>
      </w:pPr>
      <w:r>
        <w:t xml:space="preserve">31.</w:t>
      </w:r>
      <w:r>
        <w:t xml:space="preserve"> </w:t>
      </w:r>
      <w:r>
        <w:t xml:space="preserve">	</w:t>
      </w:r>
      <w:r>
        <w:t xml:space="preserve">Marks M et al.</w:t>
      </w:r>
      <w:r>
        <w:t xml:space="preserve">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56">
        <w:r>
          <w:rPr>
            <w:rStyle w:val="Hyperlink"/>
          </w:rPr>
          <w:t xml:space="preserve">10.1016/S1473-3099(20)30985-3</w:t>
        </w:r>
      </w:hyperlink>
    </w:p>
    <w:bookmarkEnd w:id="157"/>
    <w:bookmarkStart w:id="159" w:name="ref-ons2021"/>
    <w:p>
      <w:pPr>
        <w:pStyle w:val="Bibliography"/>
      </w:pPr>
      <w:r>
        <w:t xml:space="preserve">32.</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58">
        <w:r>
          <w:rPr>
            <w:rStyle w:val="Hyperlink"/>
          </w:rPr>
          <w:t xml:space="preserve">https://www.ons.gov.uk/peoplepopulationandcommunity/healthandsocialcare/healthandwellbeing/bulletins/coronavirusandselfisolationaftertestingpositiveinengland/8to13march2021</w:t>
        </w:r>
      </w:hyperlink>
    </w:p>
    <w:bookmarkEnd w:id="159"/>
    <w:bookmarkStart w:id="161" w:name="ref-ko2023"/>
    <w:p>
      <w:pPr>
        <w:pStyle w:val="Bibliography"/>
      </w:pPr>
      <w:r>
        <w:t xml:space="preserve">33.</w:t>
      </w:r>
      <w:r>
        <w:t xml:space="preserve"> </w:t>
      </w:r>
      <w:r>
        <w:t xml:space="preserve">	</w:t>
      </w:r>
      <w:r>
        <w:t xml:space="preserve">Ko YK et al.</w:t>
      </w:r>
      <w:r>
        <w:t xml:space="preserve">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60">
        <w:r>
          <w:rPr>
            <w:rStyle w:val="Hyperlink"/>
          </w:rPr>
          <w:t xml:space="preserve">10.1038/s41598-023-40438-z</w:t>
        </w:r>
      </w:hyperlink>
    </w:p>
    <w:bookmarkEnd w:id="161"/>
    <w:bookmarkStart w:id="163" w:name="ref-hodcroft2025"/>
    <w:p>
      <w:pPr>
        <w:pStyle w:val="Bibliography"/>
      </w:pPr>
      <w:r>
        <w:t xml:space="preserve">34.</w:t>
      </w:r>
      <w:r>
        <w:t xml:space="preserve"> </w:t>
      </w:r>
      <w:r>
        <w:t xml:space="preserve">	</w:t>
      </w:r>
      <w:r>
        <w:t xml:space="preserve">Hodcroft EB, Wohlfender MS, Neher RA, Riou J, Althaus CL. Estimating re and overdispersion in secondary cases from the size of identical sequence clusters of SARS-CoV-2. PLoS Computational Biology. 2025;21: e1012960. doi:</w:t>
      </w:r>
      <w:hyperlink r:id="rId162">
        <w:r>
          <w:rPr>
            <w:rStyle w:val="Hyperlink"/>
          </w:rPr>
          <w:t xml:space="preserve">10.1371/journal.pcbi.1012960</w:t>
        </w:r>
      </w:hyperlink>
    </w:p>
    <w:bookmarkEnd w:id="163"/>
    <w:bookmarkStart w:id="165" w:name="ref-du2022"/>
    <w:p>
      <w:pPr>
        <w:pStyle w:val="Bibliography"/>
      </w:pPr>
      <w:r>
        <w:t xml:space="preserve">35.</w:t>
      </w:r>
      <w:r>
        <w:t xml:space="preserve"> </w:t>
      </w:r>
      <w:r>
        <w:t xml:space="preserve">	</w:t>
      </w:r>
      <w:r>
        <w:t xml:space="preserve">Du Z et al.</w:t>
      </w:r>
      <w:r>
        <w:t xml:space="preserve"> Systematic review and meta-analyses of superspreading of</w:t>
      </w:r>
      <w:r>
        <w:t xml:space="preserve"> </w:t>
      </w:r>
      <w:r>
        <w:t xml:space="preserve">SARS-CoV-2</w:t>
      </w:r>
      <w:r>
        <w:t xml:space="preserve"> </w:t>
      </w:r>
      <w:r>
        <w:t xml:space="preserve">infections. Transboundary and Emerging Diseases. 2022;69: e3007–e3014. doi:</w:t>
      </w:r>
      <w:hyperlink r:id="rId164">
        <w:r>
          <w:rPr>
            <w:rStyle w:val="Hyperlink"/>
          </w:rPr>
          <w:t xml:space="preserve">10.1111/tbed.14330</w:t>
        </w:r>
      </w:hyperlink>
    </w:p>
    <w:bookmarkEnd w:id="165"/>
    <w:bookmarkStart w:id="167" w:name="ref-wegehaupt2023"/>
    <w:p>
      <w:pPr>
        <w:pStyle w:val="Bibliography"/>
      </w:pPr>
      <w:r>
        <w:t xml:space="preserve">36.</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66">
        <w:r>
          <w:rPr>
            <w:rStyle w:val="Hyperlink"/>
          </w:rPr>
          <w:t xml:space="preserve">10.1186/s12889-023-15835-2</w:t>
        </w:r>
      </w:hyperlink>
    </w:p>
    <w:bookmarkEnd w:id="167"/>
    <w:bookmarkStart w:id="169" w:name="ref-nielsen2022"/>
    <w:p>
      <w:pPr>
        <w:pStyle w:val="Bibliography"/>
      </w:pPr>
      <w:r>
        <w:t xml:space="preserve">37.</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68">
        <w:r>
          <w:rPr>
            <w:rStyle w:val="Hyperlink"/>
          </w:rPr>
          <w:t xml:space="preserve">10.1016/j.epidem.2022.100613</w:t>
        </w:r>
      </w:hyperlink>
    </w:p>
    <w:bookmarkEnd w:id="169"/>
    <w:bookmarkStart w:id="171" w:name="ref-leung2021"/>
    <w:p>
      <w:pPr>
        <w:pStyle w:val="Bibliography"/>
      </w:pPr>
      <w:r>
        <w:t xml:space="preserve">38.</w:t>
      </w:r>
      <w:r>
        <w:t xml:space="preserve"> </w:t>
      </w:r>
      <w:r>
        <w:t xml:space="preserve">	</w:t>
      </w:r>
      <w:r>
        <w:t xml:space="preserve">Leung NHL. Transmissibility and transmission of respiratory viruses. Nature Reviews Microbiology. 2021;19: 528–545. doi:</w:t>
      </w:r>
      <w:hyperlink r:id="rId170">
        <w:r>
          <w:rPr>
            <w:rStyle w:val="Hyperlink"/>
          </w:rPr>
          <w:t xml:space="preserve">10.1038/s41579-021-00535-6</w:t>
        </w:r>
      </w:hyperlink>
    </w:p>
    <w:bookmarkEnd w:id="171"/>
    <w:bookmarkStart w:id="173" w:name="ref-lloydsmith2005"/>
    <w:p>
      <w:pPr>
        <w:pStyle w:val="Bibliography"/>
      </w:pPr>
      <w:r>
        <w:t xml:space="preserve">39.</w:t>
      </w:r>
      <w:r>
        <w:t xml:space="preserve"> </w:t>
      </w:r>
      <w:r>
        <w:t xml:space="preserve">	</w:t>
      </w:r>
      <w:r>
        <w:t xml:space="preserve">Lloyd-Smith JO, Schreiber SJ, Kopp PE, Getz WM. Superspreading and the effect of individual variation on disease emergence. Nature. 2005;438: 355–359. doi:</w:t>
      </w:r>
      <w:hyperlink r:id="rId172">
        <w:r>
          <w:rPr>
            <w:rStyle w:val="Hyperlink"/>
          </w:rPr>
          <w:t xml:space="preserve">10.1038/nature04153</w:t>
        </w:r>
      </w:hyperlink>
    </w:p>
    <w:bookmarkEnd w:id="173"/>
    <w:bookmarkStart w:id="175" w:name="ref-ons2022"/>
    <w:p>
      <w:pPr>
        <w:pStyle w:val="Bibliography"/>
      </w:pPr>
      <w:r>
        <w:t xml:space="preserve">40.</w:t>
      </w:r>
      <w:r>
        <w:t xml:space="preserve"> </w:t>
      </w:r>
      <w:r>
        <w:t xml:space="preserve">	</w:t>
      </w:r>
      <w:r>
        <w:t xml:space="preserve">Office for National Statistics. Estimates of the population for the UK, england, wales, scotland, and northern ireland: Mid-2020. 2022. Available:</w:t>
      </w:r>
      <w:r>
        <w:t xml:space="preserve"> </w:t>
      </w:r>
      <w:hyperlink r:id="rId174">
        <w:r>
          <w:rPr>
            <w:rStyle w:val="Hyperlink"/>
          </w:rPr>
          <w:t xml:space="preserve">https://www.ons.gov.uk/peoplepopulationandcommunity/populationandmigration/populationestimates/datasets/populationestimatesforukenglandandwalesscotlandandnorthernireland</w:t>
        </w:r>
      </w:hyperlink>
    </w:p>
    <w:bookmarkEnd w:id="175"/>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81" Target="media/rId81.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150" Target="https://assets.publishing.service.gov.uk/media/610c0fbee90e0706cc852394/S1281_CoMix_Report_-_high_numbers_of_contacts_SAGE_91.pdf" TargetMode="External" /><Relationship Type="http://schemas.openxmlformats.org/officeDocument/2006/relationships/hyperlink" Id="rId112" Target="https://doi.org/10.1016/S1473-3099(20)30457-6" TargetMode="External" /><Relationship Type="http://schemas.openxmlformats.org/officeDocument/2006/relationships/hyperlink" Id="rId156" Target="https://doi.org/10.1016/S1473-3099(20)30985-3" TargetMode="External" /><Relationship Type="http://schemas.openxmlformats.org/officeDocument/2006/relationships/hyperlink" Id="rId126" Target="https://doi.org/10.1016/S2468-2667(20)30133-X" TargetMode="External" /><Relationship Type="http://schemas.openxmlformats.org/officeDocument/2006/relationships/hyperlink" Id="rId134" Target="https://doi.org/10.1016/S2468-2667(20)30308-X" TargetMode="External" /><Relationship Type="http://schemas.openxmlformats.org/officeDocument/2006/relationships/hyperlink" Id="rId122" Target="https://doi.org/10.1016/S2666-5247(21)00143-9" TargetMode="External" /><Relationship Type="http://schemas.openxmlformats.org/officeDocument/2006/relationships/hyperlink" Id="rId108" Target="https://doi.org/10.1016/j.epidem.2018.03.003" TargetMode="External" /><Relationship Type="http://schemas.openxmlformats.org/officeDocument/2006/relationships/hyperlink" Id="rId168" Target="https://doi.org/10.1016/j.epidem.2022.100613" TargetMode="External" /><Relationship Type="http://schemas.openxmlformats.org/officeDocument/2006/relationships/hyperlink" Id="rId124" Target="https://doi.org/10.1016/j.jcv.2023.105420" TargetMode="External" /><Relationship Type="http://schemas.openxmlformats.org/officeDocument/2006/relationships/hyperlink" Id="rId172" Target="https://doi.org/10.1038/nature04153" TargetMode="External" /><Relationship Type="http://schemas.openxmlformats.org/officeDocument/2006/relationships/hyperlink" Id="rId106" Target="https://doi.org/10.1038/s41564-022-01105-x" TargetMode="External" /><Relationship Type="http://schemas.openxmlformats.org/officeDocument/2006/relationships/hyperlink" Id="rId170" Target="https://doi.org/10.1038/s41579-021-00535-6" TargetMode="External" /><Relationship Type="http://schemas.openxmlformats.org/officeDocument/2006/relationships/hyperlink" Id="rId154" Target="https://doi.org/10.1038/s41579-022-00822-w" TargetMode="External" /><Relationship Type="http://schemas.openxmlformats.org/officeDocument/2006/relationships/hyperlink" Id="rId146" Target="https://doi.org/10.1038/s41586-023-06952-2" TargetMode="External" /><Relationship Type="http://schemas.openxmlformats.org/officeDocument/2006/relationships/hyperlink" Id="rId152" Target="https://doi.org/10.1038/s41586-024-07029-4" TargetMode="External" /><Relationship Type="http://schemas.openxmlformats.org/officeDocument/2006/relationships/hyperlink" Id="rId104" Target="https://doi.org/10.1038/s41591-022-01780-9" TargetMode="External" /><Relationship Type="http://schemas.openxmlformats.org/officeDocument/2006/relationships/hyperlink" Id="rId132" Target="https://doi.org/10.1038/s41598-021-93578-x" TargetMode="External" /><Relationship Type="http://schemas.openxmlformats.org/officeDocument/2006/relationships/hyperlink" Id="rId160" Target="https://doi.org/10.1038/s41598-023-40438-z" TargetMode="External" /><Relationship Type="http://schemas.openxmlformats.org/officeDocument/2006/relationships/hyperlink" Id="rId130" Target="https://doi.org/10.1073/pnas.2011802117" TargetMode="External" /><Relationship Type="http://schemas.openxmlformats.org/officeDocument/2006/relationships/hyperlink" Id="rId138" Target="https://doi.org/10.1073/pnas.2111477118" TargetMode="External" /><Relationship Type="http://schemas.openxmlformats.org/officeDocument/2006/relationships/hyperlink" Id="rId140" Target="https://doi.org/10.1073/pnas.2305451120" TargetMode="External" /><Relationship Type="http://schemas.openxmlformats.org/officeDocument/2006/relationships/hyperlink" Id="rId110" Target="https://doi.org/10.1101/2020.02.16.20023754" TargetMode="External" /><Relationship Type="http://schemas.openxmlformats.org/officeDocument/2006/relationships/hyperlink" Id="rId102" Target="https://doi.org/10.1101/2020.12.08.20246082" TargetMode="External" /><Relationship Type="http://schemas.openxmlformats.org/officeDocument/2006/relationships/hyperlink" Id="rId164" Target="https://doi.org/10.1111/tbed.14330" TargetMode="External" /><Relationship Type="http://schemas.openxmlformats.org/officeDocument/2006/relationships/hyperlink" Id="rId148" Target="https://doi.org/10.1126/sciadv.adk5108" TargetMode="External" /><Relationship Type="http://schemas.openxmlformats.org/officeDocument/2006/relationships/hyperlink" Id="rId136" Target="https://doi.org/10.1126/science.abe2424" TargetMode="External" /><Relationship Type="http://schemas.openxmlformats.org/officeDocument/2006/relationships/hyperlink" Id="rId144" Target="https://doi.org/10.1126/science.adm8103" TargetMode="External" /><Relationship Type="http://schemas.openxmlformats.org/officeDocument/2006/relationships/hyperlink" Id="rId166" Target="https://doi.org/10.1186/s12889-023-15835-2" TargetMode="External" /><Relationship Type="http://schemas.openxmlformats.org/officeDocument/2006/relationships/hyperlink" Id="rId118" Target="https://doi.org/10.1186/s12916-020-01597-8" TargetMode="External" /><Relationship Type="http://schemas.openxmlformats.org/officeDocument/2006/relationships/hyperlink" Id="rId96" Target="https://doi.org/10.12688/wellcomeopenres.15842.3" TargetMode="External" /><Relationship Type="http://schemas.openxmlformats.org/officeDocument/2006/relationships/hyperlink" Id="rId120" Target="https://doi.org/10.1371/journal.pbio.3001333" TargetMode="External" /><Relationship Type="http://schemas.openxmlformats.org/officeDocument/2006/relationships/hyperlink" Id="rId162" Target="https://doi.org/10.1371/journal.pcbi.1012960" TargetMode="External" /><Relationship Type="http://schemas.openxmlformats.org/officeDocument/2006/relationships/hyperlink" Id="rId114" Target="https://doi.org/10.1371/journal.pmed.0050074" TargetMode="External" /><Relationship Type="http://schemas.openxmlformats.org/officeDocument/2006/relationships/hyperlink" Id="rId116" Target="https://doi.org/10.1371/journal.pmed.1003907" TargetMode="External" /><Relationship Type="http://schemas.openxmlformats.org/officeDocument/2006/relationships/hyperlink" Id="rId100" Target="https://doi.org/10.7554/eLife.63537" TargetMode="External" /><Relationship Type="http://schemas.openxmlformats.org/officeDocument/2006/relationships/hyperlink" Id="rId98" Target="https://doi.org/10.7554/eLife.65774" TargetMode="External" /><Relationship Type="http://schemas.openxmlformats.org/officeDocument/2006/relationships/hyperlink" Id="rId142" Target="https://doi.org/10.7554/eLife.69302" TargetMode="External" /><Relationship Type="http://schemas.openxmlformats.org/officeDocument/2006/relationships/hyperlink" Id="rId128" Target="https://www.gov.uk/guidance/the-r-number-in-the-uk" TargetMode="External" /><Relationship Type="http://schemas.openxmlformats.org/officeDocument/2006/relationships/hyperlink" Id="rId158" Target="https://www.ons.gov.uk/peoplepopulationandcommunity/healthandsocialcare/healthandwellbeing/bulletins/coronavirusandselfisolationaftertestingpositiveinengland/8to13march2021" TargetMode="External" /><Relationship Type="http://schemas.openxmlformats.org/officeDocument/2006/relationships/hyperlink" Id="rId174" Target="https://www.ons.gov.uk/peoplepopulationandcommunity/populationandmigration/populationestimates/datasets/populationestimatesforukenglandandwalesscotlandandnorthernireland" TargetMode="External" /></Relationships>
</file>

<file path=word/_rels/footnotes.xml.rels><?xml version="1.0" encoding="UTF-8"?><Relationships xmlns="http://schemas.openxmlformats.org/package/2006/relationships"><Relationship Type="http://schemas.openxmlformats.org/officeDocument/2006/relationships/hyperlink" Id="rId150" Target="https://assets.publishing.service.gov.uk/media/610c0fbee90e0706cc852394/S1281_CoMix_Report_-_high_numbers_of_contacts_SAGE_91.pdf" TargetMode="External" /><Relationship Type="http://schemas.openxmlformats.org/officeDocument/2006/relationships/hyperlink" Id="rId112" Target="https://doi.org/10.1016/S1473-3099(20)30457-6" TargetMode="External" /><Relationship Type="http://schemas.openxmlformats.org/officeDocument/2006/relationships/hyperlink" Id="rId156" Target="https://doi.org/10.1016/S1473-3099(20)30985-3" TargetMode="External" /><Relationship Type="http://schemas.openxmlformats.org/officeDocument/2006/relationships/hyperlink" Id="rId126" Target="https://doi.org/10.1016/S2468-2667(20)30133-X" TargetMode="External" /><Relationship Type="http://schemas.openxmlformats.org/officeDocument/2006/relationships/hyperlink" Id="rId134" Target="https://doi.org/10.1016/S2468-2667(20)30308-X" TargetMode="External" /><Relationship Type="http://schemas.openxmlformats.org/officeDocument/2006/relationships/hyperlink" Id="rId122" Target="https://doi.org/10.1016/S2666-5247(21)00143-9" TargetMode="External" /><Relationship Type="http://schemas.openxmlformats.org/officeDocument/2006/relationships/hyperlink" Id="rId108" Target="https://doi.org/10.1016/j.epidem.2018.03.003" TargetMode="External" /><Relationship Type="http://schemas.openxmlformats.org/officeDocument/2006/relationships/hyperlink" Id="rId168" Target="https://doi.org/10.1016/j.epidem.2022.100613" TargetMode="External" /><Relationship Type="http://schemas.openxmlformats.org/officeDocument/2006/relationships/hyperlink" Id="rId124" Target="https://doi.org/10.1016/j.jcv.2023.105420" TargetMode="External" /><Relationship Type="http://schemas.openxmlformats.org/officeDocument/2006/relationships/hyperlink" Id="rId172" Target="https://doi.org/10.1038/nature04153" TargetMode="External" /><Relationship Type="http://schemas.openxmlformats.org/officeDocument/2006/relationships/hyperlink" Id="rId106" Target="https://doi.org/10.1038/s41564-022-01105-x" TargetMode="External" /><Relationship Type="http://schemas.openxmlformats.org/officeDocument/2006/relationships/hyperlink" Id="rId170" Target="https://doi.org/10.1038/s41579-021-00535-6" TargetMode="External" /><Relationship Type="http://schemas.openxmlformats.org/officeDocument/2006/relationships/hyperlink" Id="rId154" Target="https://doi.org/10.1038/s41579-022-00822-w" TargetMode="External" /><Relationship Type="http://schemas.openxmlformats.org/officeDocument/2006/relationships/hyperlink" Id="rId146" Target="https://doi.org/10.1038/s41586-023-06952-2" TargetMode="External" /><Relationship Type="http://schemas.openxmlformats.org/officeDocument/2006/relationships/hyperlink" Id="rId152" Target="https://doi.org/10.1038/s41586-024-07029-4" TargetMode="External" /><Relationship Type="http://schemas.openxmlformats.org/officeDocument/2006/relationships/hyperlink" Id="rId104" Target="https://doi.org/10.1038/s41591-022-01780-9" TargetMode="External" /><Relationship Type="http://schemas.openxmlformats.org/officeDocument/2006/relationships/hyperlink" Id="rId132" Target="https://doi.org/10.1038/s41598-021-93578-x" TargetMode="External" /><Relationship Type="http://schemas.openxmlformats.org/officeDocument/2006/relationships/hyperlink" Id="rId160" Target="https://doi.org/10.1038/s41598-023-40438-z" TargetMode="External" /><Relationship Type="http://schemas.openxmlformats.org/officeDocument/2006/relationships/hyperlink" Id="rId130" Target="https://doi.org/10.1073/pnas.2011802117" TargetMode="External" /><Relationship Type="http://schemas.openxmlformats.org/officeDocument/2006/relationships/hyperlink" Id="rId138" Target="https://doi.org/10.1073/pnas.2111477118" TargetMode="External" /><Relationship Type="http://schemas.openxmlformats.org/officeDocument/2006/relationships/hyperlink" Id="rId140" Target="https://doi.org/10.1073/pnas.2305451120" TargetMode="External" /><Relationship Type="http://schemas.openxmlformats.org/officeDocument/2006/relationships/hyperlink" Id="rId110" Target="https://doi.org/10.1101/2020.02.16.20023754" TargetMode="External" /><Relationship Type="http://schemas.openxmlformats.org/officeDocument/2006/relationships/hyperlink" Id="rId102" Target="https://doi.org/10.1101/2020.12.08.20246082" TargetMode="External" /><Relationship Type="http://schemas.openxmlformats.org/officeDocument/2006/relationships/hyperlink" Id="rId164" Target="https://doi.org/10.1111/tbed.14330" TargetMode="External" /><Relationship Type="http://schemas.openxmlformats.org/officeDocument/2006/relationships/hyperlink" Id="rId148" Target="https://doi.org/10.1126/sciadv.adk5108" TargetMode="External" /><Relationship Type="http://schemas.openxmlformats.org/officeDocument/2006/relationships/hyperlink" Id="rId136" Target="https://doi.org/10.1126/science.abe2424" TargetMode="External" /><Relationship Type="http://schemas.openxmlformats.org/officeDocument/2006/relationships/hyperlink" Id="rId144" Target="https://doi.org/10.1126/science.adm8103" TargetMode="External" /><Relationship Type="http://schemas.openxmlformats.org/officeDocument/2006/relationships/hyperlink" Id="rId166" Target="https://doi.org/10.1186/s12889-023-15835-2" TargetMode="External" /><Relationship Type="http://schemas.openxmlformats.org/officeDocument/2006/relationships/hyperlink" Id="rId118" Target="https://doi.org/10.1186/s12916-020-01597-8" TargetMode="External" /><Relationship Type="http://schemas.openxmlformats.org/officeDocument/2006/relationships/hyperlink" Id="rId96" Target="https://doi.org/10.12688/wellcomeopenres.15842.3" TargetMode="External" /><Relationship Type="http://schemas.openxmlformats.org/officeDocument/2006/relationships/hyperlink" Id="rId120" Target="https://doi.org/10.1371/journal.pbio.3001333" TargetMode="External" /><Relationship Type="http://schemas.openxmlformats.org/officeDocument/2006/relationships/hyperlink" Id="rId162" Target="https://doi.org/10.1371/journal.pcbi.1012960" TargetMode="External" /><Relationship Type="http://schemas.openxmlformats.org/officeDocument/2006/relationships/hyperlink" Id="rId114" Target="https://doi.org/10.1371/journal.pmed.0050074" TargetMode="External" /><Relationship Type="http://schemas.openxmlformats.org/officeDocument/2006/relationships/hyperlink" Id="rId116" Target="https://doi.org/10.1371/journal.pmed.1003907" TargetMode="External" /><Relationship Type="http://schemas.openxmlformats.org/officeDocument/2006/relationships/hyperlink" Id="rId100" Target="https://doi.org/10.7554/eLife.63537" TargetMode="External" /><Relationship Type="http://schemas.openxmlformats.org/officeDocument/2006/relationships/hyperlink" Id="rId98" Target="https://doi.org/10.7554/eLife.65774" TargetMode="External" /><Relationship Type="http://schemas.openxmlformats.org/officeDocument/2006/relationships/hyperlink" Id="rId142" Target="https://doi.org/10.7554/eLife.69302" TargetMode="External" /><Relationship Type="http://schemas.openxmlformats.org/officeDocument/2006/relationships/hyperlink" Id="rId128" Target="https://www.gov.uk/guidance/the-r-number-in-the-uk" TargetMode="External" /><Relationship Type="http://schemas.openxmlformats.org/officeDocument/2006/relationships/hyperlink" Id="rId158" Target="https://www.ons.gov.uk/peoplepopulationandcommunity/healthandsocialcare/healthandwellbeing/bulletins/coronavirusandselfisolationaftertestingpositiveinengland/8to13march2021" TargetMode="External" /><Relationship Type="http://schemas.openxmlformats.org/officeDocument/2006/relationships/hyperlink" Id="rId174" Target="https://www.ons.gov.uk/peoplepopulationandcommunity/populationandmigration/populationestimates/datasets/populationestimatesforukenglandandwalesscotlandandnorthernirel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2026-06-19T12:57:40Z</dcterms:created>
  <dcterms:modified xsi:type="dcterms:W3CDTF">2026-06-19T12:57:40Z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plos-biology.csl</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