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Override PartName="/word/media/rId33.png" ContentType="image/png"/>
  <Override PartName="/word/media/rId38.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6" w:name="methods"/>
    <w:p>
      <w:pPr>
        <w:pStyle w:val="Heading2"/>
      </w:pPr>
      <w:r>
        <w:t xml:space="preserve">Methods</w:t>
      </w:r>
    </w:p>
    <w:bookmarkStart w:id="13" w:name="contact-data"/>
    <w:p>
      <w:pPr>
        <w:pStyle w:val="Heading3"/>
      </w:pPr>
      <w:r>
        <w:t xml:space="preserve">Contact data</w:t>
      </w:r>
    </w:p>
    <w:bookmarkStart w:id="11"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1"/>
    <w:bookmarkStart w:id="12"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2"/>
    <w:bookmarkEnd w:id="13"/>
    <w:bookmarkStart w:id="14"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rPr>
            <m:sty m:val="p"/>
          </m:rPr>
          <m:t>Δ</m:t>
        </m:r>
      </m:oMath>
      <w:r>
        <w:t xml:space="preserve">AIC = +2.0, LRT</w:t>
      </w:r>
      <w:r>
        <w:t xml:space="preserve"> </w:t>
      </w:r>
      <m:oMath>
        <m:r>
          <m:t>p</m:t>
        </m:r>
        <m:r>
          <m:rPr>
            <m:sty m:val="p"/>
          </m:rPr>
          <m:t>&gt;</m:t>
        </m:r>
        <m:r>
          <m:t>0.99</m:t>
        </m:r>
      </m:oMath>
      <w:r>
        <w:t xml:space="preserve">; Table S2).</w:t>
      </w:r>
    </w:p>
    <w:bookmarkEnd w:id="14"/>
    <w:bookmarkStart w:id="23"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5"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 m_conv=-3.60971 and b_conv=40.93733 are the slope and intercept of a linear regression of Ct value on log10-transformed RNA concentration from a standard curve.</w:t>
      </w:r>
    </w:p>
    <w:bookmarkEnd w:id="15"/>
    <w:bookmarkStart w:id="20"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diagram"/>
          <w:p>
            <w:pPr>
              <w:pStyle w:val="Compact"/>
              <w:jc w:val="center"/>
            </w:pPr>
            <w:r>
              <w:drawing>
                <wp:inline>
                  <wp:extent cx="5334000" cy="3291397"/>
                  <wp:effectExtent b="0" l="0" r="0" t="0"/>
                  <wp:docPr descr="" title="" id="17" name="Picture"/>
                  <a:graphic>
                    <a:graphicData uri="http://schemas.openxmlformats.org/drawingml/2006/picture">
                      <pic:pic>
                        <pic:nvPicPr>
                          <pic:cNvPr descr="../results/manuscript_figures/fig1_diagram.png" id="18" name="Picture"/>
                          <pic:cNvPicPr>
                            <a:picLocks noChangeArrowheads="1" noChangeAspect="1"/>
                          </pic:cNvPicPr>
                        </pic:nvPicPr>
                        <pic:blipFill>
                          <a:blip r:embed="rId16"/>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19"/>
        </w:tc>
      </w:tr>
    </w:tbl>
    <w:bookmarkEnd w:id="20"/>
    <w:bookmarkStart w:id="21"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1"/>
    <w:bookmarkStart w:id="22"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H</m:t>
                  </m:r>
                  <m: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N</m:t>
                  </m:r>
                  <m:r>
                    <m:t>H</m:t>
                  </m:r>
                  <m: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22"/>
    <w:bookmarkEnd w:id="23"/>
    <w:bookmarkStart w:id="24"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4"/>
    <w:bookmarkStart w:id="25"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5"/>
    <w:bookmarkEnd w:id="26"/>
    <w:bookmarkStart w:id="53" w:name="results"/>
    <w:p>
      <w:pPr>
        <w:pStyle w:val="Heading2"/>
      </w:pPr>
      <w:r>
        <w:t xml:space="preserve">Results</w:t>
      </w:r>
    </w:p>
    <w:bookmarkStart w:id="32"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0" w:name="fig-contacts"/>
          <w:p>
            <w:pPr>
              <w:pStyle w:val="Compact"/>
              <w:jc w:val="center"/>
            </w:pPr>
            <w:r>
              <w:drawing>
                <wp:inline>
                  <wp:extent cx="5334000" cy="8128972"/>
                  <wp:effectExtent b="0" l="0" r="0" t="0"/>
                  <wp:docPr descr="" title="" id="28" name="Picture"/>
                  <a:graphic>
                    <a:graphicData uri="http://schemas.openxmlformats.org/drawingml/2006/picture">
                      <pic:pic>
                        <pic:nvPicPr>
                          <pic:cNvPr descr="../results/manuscript_figures/fig2_contacts.png" id="29" name="Picture"/>
                          <pic:cNvPicPr>
                            <a:picLocks noChangeArrowheads="1" noChangeAspect="1"/>
                          </pic:cNvPicPr>
                        </pic:nvPicPr>
                        <pic:blipFill>
                          <a:blip r:embed="rId27"/>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Figure S4 for the BBC Pandemic contact distribution with an imputed heavier tail, which is used to perform a sensitivity analysis.</w:t>
            </w:r>
          </w:p>
          <w:bookmarkEnd w:id="30"/>
        </w:tc>
      </w:tr>
    </w:tbl>
    <w:tbl>
      <w:tblPr>
        <w:tblStyle w:val="Table"/>
        <w:tblW w:type="pct" w:w="5000"/>
        <w:tblLayout w:type="fixed"/>
        <w:tblLook w:firstRow="0" w:lastRow="0" w:firstColumn="0" w:lastColumn="0" w:noHBand="0" w:noVBand="0" w:val="0000"/>
      </w:tblPr>
      <w:tblGrid>
        <w:gridCol w:w="7920"/>
      </w:tblGrid>
      <w:tr>
        <w:tc>
          <w:tcPr/>
          <w:bookmarkStart w:id="31"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1"/>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0.69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S5).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 Figure S6,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2"/>
    <w:bookmarkStart w:id="37"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6" w:name="fig-vl"/>
          <w:p>
            <w:pPr>
              <w:pStyle w:val="Compact"/>
              <w:jc w:val="center"/>
            </w:pPr>
            <w:r>
              <w:drawing>
                <wp:inline>
                  <wp:extent cx="5334000" cy="2667000"/>
                  <wp:effectExtent b="0" l="0" r="0" t="0"/>
                  <wp:docPr descr="" title="" id="34" name="Picture"/>
                  <a:graphic>
                    <a:graphicData uri="http://schemas.openxmlformats.org/drawingml/2006/picture">
                      <pic:pic>
                        <pic:nvPicPr>
                          <pic:cNvPr descr="../results/manuscript_figures/fig3_vl.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S7 shows the difference in viral load trajectories and infectivity for the sensitivity analysis with double the standard deviation in the viral load trajectory parameters.</w:t>
            </w:r>
          </w:p>
          <w:bookmarkEnd w:id="36"/>
        </w:tc>
      </w:tr>
    </w:tbl>
    <w:bookmarkEnd w:id="37"/>
    <w:bookmarkStart w:id="42"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to 2.6) to 2.7 (95% CI 2.6 to 2.9)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41" w:name="fig-rk"/>
          <w:p>
            <w:pPr>
              <w:pStyle w:val="Compact"/>
              <w:jc w:val="center"/>
            </w:pPr>
            <w:r>
              <w:drawing>
                <wp:inline>
                  <wp:extent cx="5334000" cy="3556000"/>
                  <wp:effectExtent b="0" l="0" r="0" t="0"/>
                  <wp:docPr descr="" title="" id="39" name="Picture"/>
                  <a:graphic>
                    <a:graphicData uri="http://schemas.openxmlformats.org/drawingml/2006/picture">
                      <pic:pic>
                        <pic:nvPicPr>
                          <pic:cNvPr descr="../results/manuscript_figures/fig4_rk.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1"/>
        </w:tc>
      </w:tr>
    </w:tbl>
    <w:bookmarkEnd w:id="42"/>
    <w:bookmarkStart w:id="47"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S8).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heterogen"/>
          <w:p>
            <w:pPr>
              <w:pStyle w:val="Compact"/>
              <w:jc w:val="center"/>
            </w:pPr>
            <w:r>
              <w:drawing>
                <wp:inline>
                  <wp:extent cx="5334000" cy="5866948"/>
                  <wp:effectExtent b="0" l="0" r="0" t="0"/>
                  <wp:docPr descr="" title="" id="44" name="Picture"/>
                  <a:graphic>
                    <a:graphicData uri="http://schemas.openxmlformats.org/drawingml/2006/picture">
                      <pic:pic>
                        <pic:nvPicPr>
                          <pic:cNvPr descr="../results/manuscript_figures/fig5_heterogen.png" id="45" name="Picture"/>
                          <pic:cNvPicPr>
                            <a:picLocks noChangeArrowheads="1" noChangeAspect="1"/>
                          </pic:cNvPicPr>
                        </pic:nvPicPr>
                        <pic:blipFill>
                          <a:blip r:embed="rId43"/>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S8.</w:t>
            </w:r>
          </w:p>
          <w:bookmarkEnd w:id="46"/>
        </w:tc>
      </w:tr>
    </w:tbl>
    <w:bookmarkEnd w:id="47"/>
    <w:bookmarkStart w:id="52"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(Figure 6A).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50% (Figure 6A). Pre-event testing acts similarly, with high uptake (&gt; 80%)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30%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(Figure 6).</w:t>
      </w:r>
      <w:r>
        <w:t xml:space="preserve"> </w:t>
      </w:r>
      <w:r>
        <w:t xml:space="preserve">From the sensitivity analysis comparing the impact of regular testing with and without overdispersion in contacts (Figure S9),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1" w:name="fig-testing"/>
          <w:p>
            <w:pPr>
              <w:pStyle w:val="Compact"/>
              <w:jc w:val="center"/>
            </w:pPr>
            <w:r>
              <w:drawing>
                <wp:inline>
                  <wp:extent cx="5334000" cy="8255870"/>
                  <wp:effectExtent b="0" l="0" r="0" t="0"/>
                  <wp:docPr descr="" title="" id="49" name="Picture"/>
                  <a:graphic>
                    <a:graphicData uri="http://schemas.openxmlformats.org/drawingml/2006/picture">
                      <pic:pic>
                        <pic:nvPicPr>
                          <pic:cNvPr descr="../results/manuscript_figures/fig6_testing.png" id="50" name="Picture"/>
                          <pic:cNvPicPr>
                            <a:picLocks noChangeArrowheads="1" noChangeAspect="1"/>
                          </pic:cNvPicPr>
                        </pic:nvPicPr>
                        <pic:blipFill>
                          <a:blip r:embed="rId48"/>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1"/>
        </w:tc>
      </w:tr>
    </w:tbl>
    <w:bookmarkEnd w:id="52"/>
    <w:bookmarkEnd w:id="53"/>
    <w:bookmarkStart w:id="54"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estimate dynamic shifts in the mean and overdispersion of the reproduction number (Figure 4).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S8);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[3,38,39]</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4"/>
    <w:bookmarkStart w:id="55"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55"/>
    <w:bookmarkStart w:id="56"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56"/>
    <w:bookmarkStart w:id="57" w:name="supporting-information"/>
    <w:p>
      <w:pPr>
        <w:pStyle w:val="Heading2"/>
      </w:pPr>
      <w:r>
        <w:t xml:space="preserve">Supporting Information</w:t>
      </w:r>
    </w:p>
    <w:bookmarkEnd w:id="57"/>
    <w:bookmarkStart w:id="58" w:name="fig-s1"/>
    <w:p>
      <w:pPr>
        <w:pStyle w:val="Heading2"/>
      </w:pPr>
      <w:r>
        <w:t xml:space="preserve">Figure S1</w:t>
      </w:r>
    </w:p>
    <w:p>
      <w:pPr>
        <w:pStyle w:val="FirstParagraph"/>
      </w:pPr>
      <w:r>
        <w:t xml:space="preserve">Distribution of the duration of contact for household and out-of-household contacts from the CoMix contact survey in the UK.</w:t>
      </w:r>
    </w:p>
    <w:bookmarkEnd w:id="58"/>
    <w:bookmarkStart w:id="59" w:name="fig-s2"/>
    <w:p>
      <w:pPr>
        <w:pStyle w:val="Heading2"/>
      </w:pPr>
      <w:r>
        <w:t xml:space="preserve">Figure S2</w:t>
      </w:r>
    </w:p>
    <w:p>
      <w:pPr>
        <w:pStyle w:val="FirstParagraph"/>
      </w:pPr>
      <w:r>
        <w:t xml:space="preserve">Correlation between number of contacts and mean contact duration for CoMix survey participants from March 2020 to May 2021.</w:t>
      </w:r>
    </w:p>
    <w:bookmarkEnd w:id="59"/>
    <w:bookmarkStart w:id="60" w:name="fig-s3"/>
    <w:p>
      <w:pPr>
        <w:pStyle w:val="Heading2"/>
      </w:pPr>
      <w:r>
        <w:t xml:space="preserve">Figure S3</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60"/>
    <w:bookmarkStart w:id="61" w:name="fig-s4"/>
    <w:p>
      <w:pPr>
        <w:pStyle w:val="Heading2"/>
      </w:pPr>
      <w:r>
        <w:t xml:space="preserve">Figure S4</w:t>
      </w:r>
    </w:p>
    <w:p>
      <w:pPr>
        <w:pStyle w:val="FirstParagraph"/>
      </w:pPr>
      <w:r>
        <w:t xml:space="preserve">Contact distributions for three indicative timepoints before and during the pandemic in the UK with an imputed heavier tail in the Pre-pandemic (BBC Pandemic) contact distribution (cf. Figure 2B).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w:t>
      </w:r>
    </w:p>
    <w:bookmarkEnd w:id="61"/>
    <w:bookmarkStart w:id="62" w:name="fig-s5"/>
    <w:p>
      <w:pPr>
        <w:pStyle w:val="Heading2"/>
      </w:pPr>
      <w:r>
        <w:t xml:space="preserve">Figure S5</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2"/>
    <w:bookmarkStart w:id="63" w:name="fig-s6"/>
    <w:p>
      <w:pPr>
        <w:pStyle w:val="Heading2"/>
      </w:pPr>
      <w:r>
        <w:t xml:space="preserve">Figure S6</w:t>
      </w:r>
    </w:p>
    <w:p>
      <w:pPr>
        <w:pStyle w:val="FirstParagraph"/>
      </w:pPr>
      <w:r>
        <w:t xml:space="preserve">Contact distributions by age and gender across the nine time periods from the CoMix contact survey from March 2020 to May 2021.</w:t>
      </w:r>
    </w:p>
    <w:bookmarkEnd w:id="63"/>
    <w:bookmarkStart w:id="64" w:name="fig-s7"/>
    <w:p>
      <w:pPr>
        <w:pStyle w:val="Heading2"/>
      </w:pPr>
      <w:r>
        <w:t xml:space="preserve">Figure S7</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64"/>
    <w:bookmarkStart w:id="65" w:name="fig-s8"/>
    <w:p>
      <w:pPr>
        <w:pStyle w:val="Heading2"/>
      </w:pPr>
      <w:r>
        <w:t xml:space="preserve">Figure S8</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 Right: standard deviation of viral load parameters doubled.</w:t>
      </w:r>
    </w:p>
    <w:bookmarkEnd w:id="65"/>
    <w:bookmarkStart w:id="66" w:name="fig-s9"/>
    <w:p>
      <w:pPr>
        <w:pStyle w:val="Heading2"/>
      </w:pPr>
      <w:r>
        <w:t xml:space="preserve">Figure S9</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6"/>
    <w:bookmarkStart w:id="67" w:name="tbl-s1"/>
    <w:p>
      <w:pPr>
        <w:pStyle w:val="Heading2"/>
      </w:pPr>
      <w:r>
        <w:t xml:space="preserve">Table S1</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7"/>
    <w:bookmarkStart w:id="68" w:name="tbl-s2"/>
    <w:p>
      <w:pPr>
        <w:pStyle w:val="Heading2"/>
      </w:pPr>
      <w:r>
        <w:t xml:space="preserve">Table S2</w:t>
      </w:r>
    </w:p>
    <w:p>
      <w:pPr>
        <w:pStyle w:val="FirstParagraph"/>
      </w:pPr>
      <w:r>
        <w:t xml:space="preserve">Sensitivity analysis of the effect on the mean and dispersion in contact rates comparing a negative binomial distribution to a zero-inflated negative binomial distribution.</w:t>
      </w:r>
    </w:p>
    <w:bookmarkEnd w:id="68"/>
    <w:bookmarkStart w:id="150" w:name="references"/>
    <w:p>
      <w:pPr>
        <w:pStyle w:val="Heading2"/>
      </w:pPr>
      <w:r>
        <w:t xml:space="preserve">References</w:t>
      </w:r>
    </w:p>
    <w:bookmarkStart w:id="149" w:name="refs"/>
    <w:bookmarkStart w:id="70"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9">
        <w:r>
          <w:rPr>
            <w:rStyle w:val="Hyperlink"/>
          </w:rPr>
          <w:t xml:space="preserve">10.12688/wellcomeopenres.15842.3</w:t>
        </w:r>
      </w:hyperlink>
    </w:p>
    <w:bookmarkEnd w:id="70"/>
    <w:bookmarkStart w:id="72"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1">
        <w:r>
          <w:rPr>
            <w:rStyle w:val="Hyperlink"/>
          </w:rPr>
          <w:t xml:space="preserve">10.7554/eLife.65774</w:t>
        </w:r>
      </w:hyperlink>
    </w:p>
    <w:bookmarkEnd w:id="72"/>
    <w:bookmarkStart w:id="74"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3">
        <w:r>
          <w:rPr>
            <w:rStyle w:val="Hyperlink"/>
          </w:rPr>
          <w:t xml:space="preserve">10.7554/eLife.63537</w:t>
        </w:r>
      </w:hyperlink>
    </w:p>
    <w:bookmarkEnd w:id="74"/>
    <w:bookmarkStart w:id="76"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5">
        <w:r>
          <w:rPr>
            <w:rStyle w:val="Hyperlink"/>
          </w:rPr>
          <w:t xml:space="preserve">10.1101/2020.12.08.20246082</w:t>
        </w:r>
      </w:hyperlink>
    </w:p>
    <w:bookmarkEnd w:id="76"/>
    <w:bookmarkStart w:id="78"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7">
        <w:r>
          <w:rPr>
            <w:rStyle w:val="Hyperlink"/>
          </w:rPr>
          <w:t xml:space="preserve">10.1038/s41591-022-01780-9</w:t>
        </w:r>
      </w:hyperlink>
    </w:p>
    <w:bookmarkEnd w:id="78"/>
    <w:bookmarkStart w:id="80"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9">
        <w:r>
          <w:rPr>
            <w:rStyle w:val="Hyperlink"/>
          </w:rPr>
          <w:t xml:space="preserve">10.1038/s41564-022-01105-x</w:t>
        </w:r>
      </w:hyperlink>
    </w:p>
    <w:bookmarkEnd w:id="80"/>
    <w:bookmarkStart w:id="82"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1">
        <w:r>
          <w:rPr>
            <w:rStyle w:val="Hyperlink"/>
          </w:rPr>
          <w:t xml:space="preserve">10.1016/j.epidem.2018.03.003</w:t>
        </w:r>
      </w:hyperlink>
    </w:p>
    <w:bookmarkEnd w:id="82"/>
    <w:bookmarkStart w:id="84"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3">
        <w:r>
          <w:rPr>
            <w:rStyle w:val="Hyperlink"/>
          </w:rPr>
          <w:t xml:space="preserve">10.1101/2020.02.16.20023754</w:t>
        </w:r>
      </w:hyperlink>
    </w:p>
    <w:bookmarkEnd w:id="84"/>
    <w:bookmarkStart w:id="86"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5">
        <w:r>
          <w:rPr>
            <w:rStyle w:val="Hyperlink"/>
          </w:rPr>
          <w:t xml:space="preserve">10.1016/S1473-3099(20)30457-6</w:t>
        </w:r>
      </w:hyperlink>
    </w:p>
    <w:bookmarkEnd w:id="86"/>
    <w:bookmarkStart w:id="88"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7">
        <w:r>
          <w:rPr>
            <w:rStyle w:val="Hyperlink"/>
          </w:rPr>
          <w:t xml:space="preserve">10.1371/journal.pmed.0050074</w:t>
        </w:r>
      </w:hyperlink>
    </w:p>
    <w:bookmarkEnd w:id="88"/>
    <w:bookmarkStart w:id="90"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9">
        <w:r>
          <w:rPr>
            <w:rStyle w:val="Hyperlink"/>
          </w:rPr>
          <w:t xml:space="preserve">10.1371/journal.pmed.1003907</w:t>
        </w:r>
      </w:hyperlink>
    </w:p>
    <w:bookmarkEnd w:id="90"/>
    <w:bookmarkStart w:id="92"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1">
        <w:r>
          <w:rPr>
            <w:rStyle w:val="Hyperlink"/>
          </w:rPr>
          <w:t xml:space="preserve">10.1186/s12916-020-01597-8</w:t>
        </w:r>
      </w:hyperlink>
    </w:p>
    <w:bookmarkEnd w:id="92"/>
    <w:bookmarkStart w:id="94"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3">
        <w:r>
          <w:rPr>
            <w:rStyle w:val="Hyperlink"/>
          </w:rPr>
          <w:t xml:space="preserve">10.1371/journal.pbio.3001333</w:t>
        </w:r>
      </w:hyperlink>
    </w:p>
    <w:bookmarkEnd w:id="94"/>
    <w:bookmarkStart w:id="96"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5">
        <w:r>
          <w:rPr>
            <w:rStyle w:val="Hyperlink"/>
          </w:rPr>
          <w:t xml:space="preserve">10.1016/S2666-5247(21)00143-9</w:t>
        </w:r>
      </w:hyperlink>
    </w:p>
    <w:bookmarkEnd w:id="96"/>
    <w:bookmarkStart w:id="98"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7">
        <w:r>
          <w:rPr>
            <w:rStyle w:val="Hyperlink"/>
          </w:rPr>
          <w:t xml:space="preserve">10.1016/j.jcv.2023.105420</w:t>
        </w:r>
      </w:hyperlink>
    </w:p>
    <w:bookmarkEnd w:id="98"/>
    <w:bookmarkStart w:id="100"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9">
        <w:r>
          <w:rPr>
            <w:rStyle w:val="Hyperlink"/>
          </w:rPr>
          <w:t xml:space="preserve">10.1016/S2468-2667(20)30133-X</w:t>
        </w:r>
      </w:hyperlink>
    </w:p>
    <w:bookmarkEnd w:id="100"/>
    <w:bookmarkStart w:id="102"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1">
        <w:r>
          <w:rPr>
            <w:rStyle w:val="Hyperlink"/>
          </w:rPr>
          <w:t xml:space="preserve">https://www.gov.uk/guidance/the-r-number-in-the-uk</w:t>
        </w:r>
      </w:hyperlink>
    </w:p>
    <w:bookmarkEnd w:id="102"/>
    <w:bookmarkStart w:id="104"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3">
        <w:r>
          <w:rPr>
            <w:rStyle w:val="Hyperlink"/>
          </w:rPr>
          <w:t xml:space="preserve">10.1073/pnas.2011802117</w:t>
        </w:r>
      </w:hyperlink>
    </w:p>
    <w:bookmarkEnd w:id="104"/>
    <w:bookmarkStart w:id="106"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5">
        <w:r>
          <w:rPr>
            <w:rStyle w:val="Hyperlink"/>
          </w:rPr>
          <w:t xml:space="preserve">10.1038/s41598-021-93578-x</w:t>
        </w:r>
      </w:hyperlink>
    </w:p>
    <w:bookmarkEnd w:id="106"/>
    <w:bookmarkStart w:id="108"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7">
        <w:r>
          <w:rPr>
            <w:rStyle w:val="Hyperlink"/>
          </w:rPr>
          <w:t xml:space="preserve">10.1016/S2468-2667(20)30308-X</w:t>
        </w:r>
      </w:hyperlink>
    </w:p>
    <w:bookmarkEnd w:id="108"/>
    <w:bookmarkStart w:id="110"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9">
        <w:r>
          <w:rPr>
            <w:rStyle w:val="Hyperlink"/>
          </w:rPr>
          <w:t xml:space="preserve">10.1126/science.abe2424</w:t>
        </w:r>
      </w:hyperlink>
    </w:p>
    <w:bookmarkEnd w:id="110"/>
    <w:bookmarkStart w:id="112"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1">
        <w:r>
          <w:rPr>
            <w:rStyle w:val="Hyperlink"/>
          </w:rPr>
          <w:t xml:space="preserve">10.1073/pnas.2111477118</w:t>
        </w:r>
      </w:hyperlink>
    </w:p>
    <w:bookmarkEnd w:id="112"/>
    <w:bookmarkStart w:id="114"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3">
        <w:r>
          <w:rPr>
            <w:rStyle w:val="Hyperlink"/>
          </w:rPr>
          <w:t xml:space="preserve">10.1073/pnas.2305451120</w:t>
        </w:r>
      </w:hyperlink>
    </w:p>
    <w:bookmarkEnd w:id="114"/>
    <w:bookmarkStart w:id="116"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5">
        <w:r>
          <w:rPr>
            <w:rStyle w:val="Hyperlink"/>
          </w:rPr>
          <w:t xml:space="preserve">10.7554/eLife.69302</w:t>
        </w:r>
      </w:hyperlink>
    </w:p>
    <w:bookmarkEnd w:id="116"/>
    <w:bookmarkStart w:id="118"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7">
        <w:r>
          <w:rPr>
            <w:rStyle w:val="Hyperlink"/>
          </w:rPr>
          <w:t xml:space="preserve">10.1126/science.adm8103</w:t>
        </w:r>
      </w:hyperlink>
    </w:p>
    <w:bookmarkEnd w:id="118"/>
    <w:bookmarkStart w:id="120"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9">
        <w:r>
          <w:rPr>
            <w:rStyle w:val="Hyperlink"/>
          </w:rPr>
          <w:t xml:space="preserve">10.1038/s41586-023-06952-2</w:t>
        </w:r>
      </w:hyperlink>
    </w:p>
    <w:bookmarkEnd w:id="120"/>
    <w:bookmarkStart w:id="122"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1">
        <w:r>
          <w:rPr>
            <w:rStyle w:val="Hyperlink"/>
          </w:rPr>
          <w:t xml:space="preserve">10.1126/sciadv.adk5108</w:t>
        </w:r>
      </w:hyperlink>
    </w:p>
    <w:bookmarkEnd w:id="122"/>
    <w:bookmarkStart w:id="124"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3">
        <w:r>
          <w:rPr>
            <w:rStyle w:val="Hyperlink"/>
          </w:rPr>
          <w:t xml:space="preserve">https://assets.publishing.service.gov.uk/media/610c0fbee90e0706cc852394/S1281_CoMix_Report_-_high_numbers_of_contacts_SAGE_91.pdf</w:t>
        </w:r>
      </w:hyperlink>
    </w:p>
    <w:bookmarkEnd w:id="124"/>
    <w:bookmarkStart w:id="126"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5">
        <w:r>
          <w:rPr>
            <w:rStyle w:val="Hyperlink"/>
          </w:rPr>
          <w:t xml:space="preserve">10.1038/s41586-024-07029-4</w:t>
        </w:r>
      </w:hyperlink>
    </w:p>
    <w:bookmarkEnd w:id="126"/>
    <w:bookmarkStart w:id="128"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7">
        <w:r>
          <w:rPr>
            <w:rStyle w:val="Hyperlink"/>
          </w:rPr>
          <w:t xml:space="preserve">10.1038/s41579-022-00822-w</w:t>
        </w:r>
      </w:hyperlink>
    </w:p>
    <w:bookmarkEnd w:id="128"/>
    <w:bookmarkStart w:id="130"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9">
        <w:r>
          <w:rPr>
            <w:rStyle w:val="Hyperlink"/>
          </w:rPr>
          <w:t xml:space="preserve">10.1016/S1473-3099(20)30985-3</w:t>
        </w:r>
      </w:hyperlink>
    </w:p>
    <w:bookmarkEnd w:id="130"/>
    <w:bookmarkStart w:id="132"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1">
        <w:r>
          <w:rPr>
            <w:rStyle w:val="Hyperlink"/>
          </w:rPr>
          <w:t xml:space="preserve">https://www.ons.gov.uk/peoplepopulationandcommunity/healthandsocialcare/healthandwellbeing/bulletins/coronavirusandselfisolationaftertestingpositiveinengland/8to13march2021</w:t>
        </w:r>
      </w:hyperlink>
    </w:p>
    <w:bookmarkEnd w:id="132"/>
    <w:bookmarkStart w:id="134"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3">
        <w:r>
          <w:rPr>
            <w:rStyle w:val="Hyperlink"/>
          </w:rPr>
          <w:t xml:space="preserve">10.1038/s41598-023-40438-z</w:t>
        </w:r>
      </w:hyperlink>
    </w:p>
    <w:bookmarkEnd w:id="134"/>
    <w:bookmarkStart w:id="136"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5">
        <w:r>
          <w:rPr>
            <w:rStyle w:val="Hyperlink"/>
          </w:rPr>
          <w:t xml:space="preserve">10.1371/journal.pcbi.1012960</w:t>
        </w:r>
      </w:hyperlink>
    </w:p>
    <w:bookmarkEnd w:id="136"/>
    <w:bookmarkStart w:id="138"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7">
        <w:r>
          <w:rPr>
            <w:rStyle w:val="Hyperlink"/>
          </w:rPr>
          <w:t xml:space="preserve">10.1111/tbed.14330</w:t>
        </w:r>
      </w:hyperlink>
    </w:p>
    <w:bookmarkEnd w:id="138"/>
    <w:bookmarkStart w:id="140"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9">
        <w:r>
          <w:rPr>
            <w:rStyle w:val="Hyperlink"/>
          </w:rPr>
          <w:t xml:space="preserve">10.1186/s12889-023-15835-2</w:t>
        </w:r>
      </w:hyperlink>
    </w:p>
    <w:bookmarkEnd w:id="140"/>
    <w:bookmarkStart w:id="142"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1">
        <w:r>
          <w:rPr>
            <w:rStyle w:val="Hyperlink"/>
          </w:rPr>
          <w:t xml:space="preserve">10.1016/j.epidem.2022.100613</w:t>
        </w:r>
      </w:hyperlink>
    </w:p>
    <w:bookmarkEnd w:id="142"/>
    <w:bookmarkStart w:id="144"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3">
        <w:r>
          <w:rPr>
            <w:rStyle w:val="Hyperlink"/>
          </w:rPr>
          <w:t xml:space="preserve">10.1038/s41579-021-00535-6</w:t>
        </w:r>
      </w:hyperlink>
    </w:p>
    <w:bookmarkEnd w:id="144"/>
    <w:bookmarkStart w:id="146"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5">
        <w:r>
          <w:rPr>
            <w:rStyle w:val="Hyperlink"/>
          </w:rPr>
          <w:t xml:space="preserve">10.1038/nature04153</w:t>
        </w:r>
      </w:hyperlink>
    </w:p>
    <w:bookmarkEnd w:id="146"/>
    <w:bookmarkStart w:id="148"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7">
        <w:r>
          <w:rPr>
            <w:rStyle w:val="Hyperlink"/>
          </w:rPr>
          <w:t xml:space="preserve">https://www.ons.gov.uk/peoplepopulationandcommunity/populationandmigration/populationestimates/datasets/populationestimatesforukenglandandwalesscotlandandnorthernireland</w:t>
        </w:r>
      </w:hyperlink>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123" Target="https://assets.publishing.service.gov.uk/media/610c0fbee90e0706cc852394/S1281_CoMix_Report_-_high_numbers_of_contacts_SAGE_91.pdf" TargetMode="External" /><Relationship Type="http://schemas.openxmlformats.org/officeDocument/2006/relationships/hyperlink" Id="rId85" Target="https://doi.org/10.1016/S1473-3099(20)30457-6" TargetMode="External" /><Relationship Type="http://schemas.openxmlformats.org/officeDocument/2006/relationships/hyperlink" Id="rId129" Target="https://doi.org/10.1016/S1473-3099(20)30985-3" TargetMode="External" /><Relationship Type="http://schemas.openxmlformats.org/officeDocument/2006/relationships/hyperlink" Id="rId99" Target="https://doi.org/10.1016/S2468-2667(20)30133-X" TargetMode="External" /><Relationship Type="http://schemas.openxmlformats.org/officeDocument/2006/relationships/hyperlink" Id="rId107" Target="https://doi.org/10.1016/S2468-2667(20)30308-X" TargetMode="External" /><Relationship Type="http://schemas.openxmlformats.org/officeDocument/2006/relationships/hyperlink" Id="rId95" Target="https://doi.org/10.1016/S2666-5247(21)00143-9" TargetMode="External" /><Relationship Type="http://schemas.openxmlformats.org/officeDocument/2006/relationships/hyperlink" Id="rId81" Target="https://doi.org/10.1016/j.epidem.2018.03.003" TargetMode="External" /><Relationship Type="http://schemas.openxmlformats.org/officeDocument/2006/relationships/hyperlink" Id="rId141" Target="https://doi.org/10.1016/j.epidem.2022.100613" TargetMode="External" /><Relationship Type="http://schemas.openxmlformats.org/officeDocument/2006/relationships/hyperlink" Id="rId97" Target="https://doi.org/10.1016/j.jcv.2023.105420" TargetMode="External" /><Relationship Type="http://schemas.openxmlformats.org/officeDocument/2006/relationships/hyperlink" Id="rId145" Target="https://doi.org/10.1038/nature04153" TargetMode="External" /><Relationship Type="http://schemas.openxmlformats.org/officeDocument/2006/relationships/hyperlink" Id="rId79" Target="https://doi.org/10.1038/s41564-022-01105-x" TargetMode="External" /><Relationship Type="http://schemas.openxmlformats.org/officeDocument/2006/relationships/hyperlink" Id="rId143" Target="https://doi.org/10.1038/s41579-021-00535-6" TargetMode="External" /><Relationship Type="http://schemas.openxmlformats.org/officeDocument/2006/relationships/hyperlink" Id="rId127" Target="https://doi.org/10.1038/s41579-022-00822-w" TargetMode="External" /><Relationship Type="http://schemas.openxmlformats.org/officeDocument/2006/relationships/hyperlink" Id="rId119" Target="https://doi.org/10.1038/s41586-023-06952-2" TargetMode="External" /><Relationship Type="http://schemas.openxmlformats.org/officeDocument/2006/relationships/hyperlink" Id="rId125" Target="https://doi.org/10.1038/s41586-024-07029-4" TargetMode="External" /><Relationship Type="http://schemas.openxmlformats.org/officeDocument/2006/relationships/hyperlink" Id="rId77" Target="https://doi.org/10.1038/s41591-022-01780-9" TargetMode="External" /><Relationship Type="http://schemas.openxmlformats.org/officeDocument/2006/relationships/hyperlink" Id="rId105" Target="https://doi.org/10.1038/s41598-021-93578-x" TargetMode="External" /><Relationship Type="http://schemas.openxmlformats.org/officeDocument/2006/relationships/hyperlink" Id="rId133" Target="https://doi.org/10.1038/s41598-023-40438-z" TargetMode="External" /><Relationship Type="http://schemas.openxmlformats.org/officeDocument/2006/relationships/hyperlink" Id="rId103" Target="https://doi.org/10.1073/pnas.2011802117" TargetMode="External" /><Relationship Type="http://schemas.openxmlformats.org/officeDocument/2006/relationships/hyperlink" Id="rId111" Target="https://doi.org/10.1073/pnas.2111477118" TargetMode="External" /><Relationship Type="http://schemas.openxmlformats.org/officeDocument/2006/relationships/hyperlink" Id="rId113" Target="https://doi.org/10.1073/pnas.2305451120" TargetMode="External" /><Relationship Type="http://schemas.openxmlformats.org/officeDocument/2006/relationships/hyperlink" Id="rId83" Target="https://doi.org/10.1101/2020.02.16.20023754" TargetMode="External" /><Relationship Type="http://schemas.openxmlformats.org/officeDocument/2006/relationships/hyperlink" Id="rId75" Target="https://doi.org/10.1101/2020.12.08.20246082" TargetMode="External" /><Relationship Type="http://schemas.openxmlformats.org/officeDocument/2006/relationships/hyperlink" Id="rId137" Target="https://doi.org/10.1111/tbed.14330" TargetMode="External" /><Relationship Type="http://schemas.openxmlformats.org/officeDocument/2006/relationships/hyperlink" Id="rId121" Target="https://doi.org/10.1126/sciadv.adk5108" TargetMode="External" /><Relationship Type="http://schemas.openxmlformats.org/officeDocument/2006/relationships/hyperlink" Id="rId109" Target="https://doi.org/10.1126/science.abe2424" TargetMode="External" /><Relationship Type="http://schemas.openxmlformats.org/officeDocument/2006/relationships/hyperlink" Id="rId117" Target="https://doi.org/10.1126/science.adm8103" TargetMode="External" /><Relationship Type="http://schemas.openxmlformats.org/officeDocument/2006/relationships/hyperlink" Id="rId139" Target="https://doi.org/10.1186/s12889-023-15835-2" TargetMode="External" /><Relationship Type="http://schemas.openxmlformats.org/officeDocument/2006/relationships/hyperlink" Id="rId91" Target="https://doi.org/10.1186/s12916-020-01597-8" TargetMode="External" /><Relationship Type="http://schemas.openxmlformats.org/officeDocument/2006/relationships/hyperlink" Id="rId69" Target="https://doi.org/10.12688/wellcomeopenres.15842.3" TargetMode="External" /><Relationship Type="http://schemas.openxmlformats.org/officeDocument/2006/relationships/hyperlink" Id="rId93" Target="https://doi.org/10.1371/journal.pbio.3001333" TargetMode="External" /><Relationship Type="http://schemas.openxmlformats.org/officeDocument/2006/relationships/hyperlink" Id="rId135" Target="https://doi.org/10.1371/journal.pcbi.1012960" TargetMode="External" /><Relationship Type="http://schemas.openxmlformats.org/officeDocument/2006/relationships/hyperlink" Id="rId87" Target="https://doi.org/10.1371/journal.pmed.0050074" TargetMode="External" /><Relationship Type="http://schemas.openxmlformats.org/officeDocument/2006/relationships/hyperlink" Id="rId89" Target="https://doi.org/10.1371/journal.pmed.1003907" TargetMode="External" /><Relationship Type="http://schemas.openxmlformats.org/officeDocument/2006/relationships/hyperlink" Id="rId73" Target="https://doi.org/10.7554/eLife.63537" TargetMode="External" /><Relationship Type="http://schemas.openxmlformats.org/officeDocument/2006/relationships/hyperlink" Id="rId71" Target="https://doi.org/10.7554/eLife.65774" TargetMode="External" /><Relationship Type="http://schemas.openxmlformats.org/officeDocument/2006/relationships/hyperlink" Id="rId115" Target="https://doi.org/10.7554/eLife.69302" TargetMode="External" /><Relationship Type="http://schemas.openxmlformats.org/officeDocument/2006/relationships/hyperlink" Id="rId101" Target="https://www.gov.uk/guidance/the-r-number-in-the-uk" TargetMode="External" /><Relationship Type="http://schemas.openxmlformats.org/officeDocument/2006/relationships/hyperlink" Id="rId131"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7"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3" Target="https://assets.publishing.service.gov.uk/media/610c0fbee90e0706cc852394/S1281_CoMix_Report_-_high_numbers_of_contacts_SAGE_91.pdf" TargetMode="External" /><Relationship Type="http://schemas.openxmlformats.org/officeDocument/2006/relationships/hyperlink" Id="rId85" Target="https://doi.org/10.1016/S1473-3099(20)30457-6" TargetMode="External" /><Relationship Type="http://schemas.openxmlformats.org/officeDocument/2006/relationships/hyperlink" Id="rId129" Target="https://doi.org/10.1016/S1473-3099(20)30985-3" TargetMode="External" /><Relationship Type="http://schemas.openxmlformats.org/officeDocument/2006/relationships/hyperlink" Id="rId99" Target="https://doi.org/10.1016/S2468-2667(20)30133-X" TargetMode="External" /><Relationship Type="http://schemas.openxmlformats.org/officeDocument/2006/relationships/hyperlink" Id="rId107" Target="https://doi.org/10.1016/S2468-2667(20)30308-X" TargetMode="External" /><Relationship Type="http://schemas.openxmlformats.org/officeDocument/2006/relationships/hyperlink" Id="rId95" Target="https://doi.org/10.1016/S2666-5247(21)00143-9" TargetMode="External" /><Relationship Type="http://schemas.openxmlformats.org/officeDocument/2006/relationships/hyperlink" Id="rId81" Target="https://doi.org/10.1016/j.epidem.2018.03.003" TargetMode="External" /><Relationship Type="http://schemas.openxmlformats.org/officeDocument/2006/relationships/hyperlink" Id="rId141" Target="https://doi.org/10.1016/j.epidem.2022.100613" TargetMode="External" /><Relationship Type="http://schemas.openxmlformats.org/officeDocument/2006/relationships/hyperlink" Id="rId97" Target="https://doi.org/10.1016/j.jcv.2023.105420" TargetMode="External" /><Relationship Type="http://schemas.openxmlformats.org/officeDocument/2006/relationships/hyperlink" Id="rId145" Target="https://doi.org/10.1038/nature04153" TargetMode="External" /><Relationship Type="http://schemas.openxmlformats.org/officeDocument/2006/relationships/hyperlink" Id="rId79" Target="https://doi.org/10.1038/s41564-022-01105-x" TargetMode="External" /><Relationship Type="http://schemas.openxmlformats.org/officeDocument/2006/relationships/hyperlink" Id="rId143" Target="https://doi.org/10.1038/s41579-021-00535-6" TargetMode="External" /><Relationship Type="http://schemas.openxmlformats.org/officeDocument/2006/relationships/hyperlink" Id="rId127" Target="https://doi.org/10.1038/s41579-022-00822-w" TargetMode="External" /><Relationship Type="http://schemas.openxmlformats.org/officeDocument/2006/relationships/hyperlink" Id="rId119" Target="https://doi.org/10.1038/s41586-023-06952-2" TargetMode="External" /><Relationship Type="http://schemas.openxmlformats.org/officeDocument/2006/relationships/hyperlink" Id="rId125" Target="https://doi.org/10.1038/s41586-024-07029-4" TargetMode="External" /><Relationship Type="http://schemas.openxmlformats.org/officeDocument/2006/relationships/hyperlink" Id="rId77" Target="https://doi.org/10.1038/s41591-022-01780-9" TargetMode="External" /><Relationship Type="http://schemas.openxmlformats.org/officeDocument/2006/relationships/hyperlink" Id="rId105" Target="https://doi.org/10.1038/s41598-021-93578-x" TargetMode="External" /><Relationship Type="http://schemas.openxmlformats.org/officeDocument/2006/relationships/hyperlink" Id="rId133" Target="https://doi.org/10.1038/s41598-023-40438-z" TargetMode="External" /><Relationship Type="http://schemas.openxmlformats.org/officeDocument/2006/relationships/hyperlink" Id="rId103" Target="https://doi.org/10.1073/pnas.2011802117" TargetMode="External" /><Relationship Type="http://schemas.openxmlformats.org/officeDocument/2006/relationships/hyperlink" Id="rId111" Target="https://doi.org/10.1073/pnas.2111477118" TargetMode="External" /><Relationship Type="http://schemas.openxmlformats.org/officeDocument/2006/relationships/hyperlink" Id="rId113" Target="https://doi.org/10.1073/pnas.2305451120" TargetMode="External" /><Relationship Type="http://schemas.openxmlformats.org/officeDocument/2006/relationships/hyperlink" Id="rId83" Target="https://doi.org/10.1101/2020.02.16.20023754" TargetMode="External" /><Relationship Type="http://schemas.openxmlformats.org/officeDocument/2006/relationships/hyperlink" Id="rId75" Target="https://doi.org/10.1101/2020.12.08.20246082" TargetMode="External" /><Relationship Type="http://schemas.openxmlformats.org/officeDocument/2006/relationships/hyperlink" Id="rId137" Target="https://doi.org/10.1111/tbed.14330" TargetMode="External" /><Relationship Type="http://schemas.openxmlformats.org/officeDocument/2006/relationships/hyperlink" Id="rId121" Target="https://doi.org/10.1126/sciadv.adk5108" TargetMode="External" /><Relationship Type="http://schemas.openxmlformats.org/officeDocument/2006/relationships/hyperlink" Id="rId109" Target="https://doi.org/10.1126/science.abe2424" TargetMode="External" /><Relationship Type="http://schemas.openxmlformats.org/officeDocument/2006/relationships/hyperlink" Id="rId117" Target="https://doi.org/10.1126/science.adm8103" TargetMode="External" /><Relationship Type="http://schemas.openxmlformats.org/officeDocument/2006/relationships/hyperlink" Id="rId139" Target="https://doi.org/10.1186/s12889-023-15835-2" TargetMode="External" /><Relationship Type="http://schemas.openxmlformats.org/officeDocument/2006/relationships/hyperlink" Id="rId91" Target="https://doi.org/10.1186/s12916-020-01597-8" TargetMode="External" /><Relationship Type="http://schemas.openxmlformats.org/officeDocument/2006/relationships/hyperlink" Id="rId69" Target="https://doi.org/10.12688/wellcomeopenres.15842.3" TargetMode="External" /><Relationship Type="http://schemas.openxmlformats.org/officeDocument/2006/relationships/hyperlink" Id="rId93" Target="https://doi.org/10.1371/journal.pbio.3001333" TargetMode="External" /><Relationship Type="http://schemas.openxmlformats.org/officeDocument/2006/relationships/hyperlink" Id="rId135" Target="https://doi.org/10.1371/journal.pcbi.1012960" TargetMode="External" /><Relationship Type="http://schemas.openxmlformats.org/officeDocument/2006/relationships/hyperlink" Id="rId87" Target="https://doi.org/10.1371/journal.pmed.0050074" TargetMode="External" /><Relationship Type="http://schemas.openxmlformats.org/officeDocument/2006/relationships/hyperlink" Id="rId89" Target="https://doi.org/10.1371/journal.pmed.1003907" TargetMode="External" /><Relationship Type="http://schemas.openxmlformats.org/officeDocument/2006/relationships/hyperlink" Id="rId73" Target="https://doi.org/10.7554/eLife.63537" TargetMode="External" /><Relationship Type="http://schemas.openxmlformats.org/officeDocument/2006/relationships/hyperlink" Id="rId71" Target="https://doi.org/10.7554/eLife.65774" TargetMode="External" /><Relationship Type="http://schemas.openxmlformats.org/officeDocument/2006/relationships/hyperlink" Id="rId115" Target="https://doi.org/10.7554/eLife.69302" TargetMode="External" /><Relationship Type="http://schemas.openxmlformats.org/officeDocument/2006/relationships/hyperlink" Id="rId101" Target="https://www.gov.uk/guidance/the-r-number-in-the-uk" TargetMode="External" /><Relationship Type="http://schemas.openxmlformats.org/officeDocument/2006/relationships/hyperlink" Id="rId131"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7"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2026-06-19T14:21:49Z</dcterms:created>
  <dcterms:modified xsi:type="dcterms:W3CDTF">2026-06-19T14:21:49Z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