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8.png" ContentType="image/png"/>
  <Override PartName="/word/media/rId34.png" ContentType="image/png"/>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7" w:name="methods"/>
    <w:p>
      <w:pPr>
        <w:pStyle w:val="Heading2"/>
      </w:pPr>
      <w:r>
        <w:t xml:space="preserve">Methods</w:t>
      </w:r>
    </w:p>
    <w:bookmarkStart w:id="11" w:name="ethics-statement"/>
    <w:p>
      <w:pPr>
        <w:pStyle w:val="Heading3"/>
      </w:pPr>
      <w:r>
        <w:t xml:space="preserve">Ethics Statement</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11"/>
    <w:bookmarkStart w:id="14" w:name="contact-data"/>
    <w:p>
      <w:pPr>
        <w:pStyle w:val="Heading3"/>
      </w:pPr>
      <w:r>
        <w:t xml:space="preserve">Contact data</w:t>
      </w:r>
    </w:p>
    <w:bookmarkStart w:id="1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 Children under 13 years of age were excluded from participating for ethical reasons.</w:t>
      </w:r>
    </w:p>
    <w:bookmarkEnd w:id="12"/>
    <w:bookmarkStart w:id="1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w:t>
      </w:r>
      <w:r>
        <w:t xml:space="preserve"> </w:t>
      </w:r>
      <w:hyperlink w:anchor="tbl-contacts">
        <w:r>
          <w:rPr>
            <w:rStyle w:val="Hyperlink"/>
          </w:rPr>
          <w:t xml:space="preserve">Table 1</w:t>
        </w:r>
      </w:hyperlink>
      <w:r>
        <w:t xml:space="preserve">) from the CoMix data and sampling proportionally from this distribution for the BBC Pandemic contacts.</w:t>
      </w:r>
    </w:p>
    <w:bookmarkEnd w:id="13"/>
    <w:bookmarkEnd w:id="14"/>
    <w:bookmarkStart w:id="1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w:t>
      </w:r>
      <w:hyperlink w:anchor="tbl-contacts">
        <w:r>
          <w:rPr>
            <w:rStyle w:val="Hyperlink"/>
          </w:rPr>
          <w:t xml:space="preserve">Table 1</w:t>
        </w:r>
      </w:hyperlink>
      <w:r>
        <w:t xml:space="preserve">).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&lt;</m:t>
        </m:r>
        <m:r>
          <m:t>6</m:t>
        </m:r>
        <m:r>
          <m:rPr>
            <m:sty m:val="p"/>
          </m:rPr>
          <m:t>×</m:t>
        </m:r>
        <m:sSup>
          <m:e>
            <m:r>
              <m:t>10</m:t>
            </m:r>
          </m:e>
          <m:sup>
            <m:r>
              <m:rPr>
                <m:sty m:val="p"/>
              </m:rPr>
              <m:t>−</m:t>
            </m:r>
            <m:r>
              <m:t>8</m:t>
            </m:r>
          </m:sup>
        </m:sSup>
      </m:oMath>
      <w:r>
        <w:t xml:space="preserve">,</w:t>
      </w:r>
      <w:r>
        <w:t xml:space="preserve"> </w:t>
      </w:r>
      <m:oMath>
        <m:r>
          <m:rPr>
            <m:sty m:val="p"/>
          </m:rPr>
          <m:t>Δ</m:t>
        </m:r>
      </m:oMath>
      <w:r>
        <w:t xml:space="preserve">AIC = +2.0, LRT</w:t>
      </w:r>
      <w:r>
        <w:t xml:space="preserve"> </w:t>
      </w:r>
      <m:oMath>
        <m:r>
          <m:t>p</m:t>
        </m:r>
        <m:r>
          <m:rPr>
            <m:sty m:val="p"/>
          </m:rPr>
          <m:t>&gt;</m:t>
        </m:r>
        <m:r>
          <m:t>0.97</m:t>
        </m:r>
      </m:oMath>
      <w:r>
        <w:t xml:space="preserve">; S2 Table).</w:t>
      </w:r>
    </w:p>
    <w:bookmarkEnd w:id="15"/>
    <w:bookmarkStart w:id="2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w:t>
      </w:r>
      <w:hyperlink w:anchor="fig-diagram">
        <w:r>
          <w:rPr>
            <w:rStyle w:val="Hyperlink"/>
          </w:rPr>
          <w:t xml:space="preserve">Fig 1</w:t>
        </w:r>
      </w:hyperlink>
      <w:r>
        <w:t xml:space="preserve">):</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w:t>
      </w:r>
      <w:r>
        <w:t xml:space="preserve"> </w:t>
      </w:r>
      <m:oMath>
        <m:sSub>
          <m:e>
            <m:r>
              <m:t>m</m:t>
            </m:r>
          </m:e>
          <m:sub>
            <m:r>
              <m:rPr>
                <m:sty m:val="p"/>
              </m:rPr>
              <m:t>c</m:t>
            </m:r>
            <m:r>
              <m:rPr>
                <m:sty m:val="p"/>
              </m:rPr>
              <m:t>o</m:t>
            </m:r>
            <m:r>
              <m:rPr>
                <m:sty m:val="p"/>
              </m:rPr>
              <m:t>n</m:t>
            </m:r>
            <m:r>
              <m:rPr>
                <m:sty m:val="p"/>
              </m:rPr>
              <m:t>v</m:t>
            </m:r>
          </m:sub>
        </m:sSub>
        <m:r>
          <m:rPr>
            <m:sty m:val="p"/>
          </m:rPr>
          <m:t>=</m:t>
        </m:r>
        <m:r>
          <m:rPr>
            <m:sty m:val="p"/>
          </m:rPr>
          <m:t>−</m:t>
        </m:r>
        <m:r>
          <m:t>3.60971</m:t>
        </m:r>
      </m:oMath>
      <w:r>
        <w:t xml:space="preserve"> </w:t>
      </w:r>
      <w:r>
        <w:t xml:space="preserve">and</w:t>
      </w:r>
      <w:r>
        <w:t xml:space="preserve"> </w:t>
      </w:r>
      <m:oMath>
        <m:sSub>
          <m:e>
            <m:r>
              <m:t>b</m:t>
            </m:r>
          </m:e>
          <m:sub>
            <m:r>
              <m:rPr>
                <m:sty m:val="p"/>
              </m:rPr>
              <m:t>c</m:t>
            </m:r>
            <m:r>
              <m:rPr>
                <m:sty m:val="p"/>
              </m:rPr>
              <m:t>o</m:t>
            </m:r>
            <m:r>
              <m:rPr>
                <m:sty m:val="p"/>
              </m:rPr>
              <m:t>n</m:t>
            </m:r>
            <m:r>
              <m:rPr>
                <m:sty m:val="p"/>
              </m:rPr>
              <m:t>v</m:t>
            </m:r>
          </m:sub>
        </m:sSub>
        <m:r>
          <m:rPr>
            <m:sty m:val="p"/>
          </m:rPr>
          <m:t>=</m:t>
        </m:r>
        <m:r>
          <m:t>40.93733</m:t>
        </m:r>
      </m:oMath>
      <w:r>
        <w:t xml:space="preserve"> </w:t>
      </w:r>
      <w:r>
        <w:t xml:space="preserve">are the slope and intercept of a linear regression of Ct value on log10-transformed RNA concentration from a standard curve.</w:t>
      </w:r>
    </w:p>
    <w:bookmarkEnd w:id="16"/>
    <w:bookmarkStart w:id="2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w:t>
      </w:r>
      <w:hyperlink w:anchor="fig-vl">
        <w:r>
          <w:rPr>
            <w:rStyle w:val="Hyperlink"/>
          </w:rPr>
          <w:t xml:space="preserve">Fig 3</w:t>
        </w:r>
      </w:hyperlink>
      <w:r>
        <w:t xml:space="preserve">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w:t>
      </w:r>
      <w:r>
        <w:t xml:space="preserve"> </w:t>
      </w:r>
      <m:oMath>
        <m:r>
          <m:rPr>
            <m:sty m:val="p"/>
          </m:rPr>
          <m:t>c</m:t>
        </m:r>
        <m:r>
          <m:rPr>
            <m:sty m:val="p"/>
          </m:rPr>
          <m:t>u</m:t>
        </m:r>
        <m:r>
          <m:rPr>
            <m:sty m:val="p"/>
          </m:rPr>
          <m:t>l</m:t>
        </m:r>
        <m:r>
          <m:rPr>
            <m:sty m:val="p"/>
          </m:rPr>
          <m:t>t</m:t>
        </m:r>
        <m:r>
          <m:rPr>
            <m:sty m:val="p"/>
          </m:rPr>
          <m:t>u</m:t>
        </m:r>
        <m:r>
          <m:rPr>
            <m:sty m:val="p"/>
          </m:rPr>
          <m:t>r</m:t>
        </m:r>
        <m:r>
          <m:rPr>
            <m:sty m:val="p"/>
          </m:rPr>
          <m:t>e</m:t>
        </m:r>
      </m:oMath>
      <w:r>
        <w:t xml:space="preserve"> </w:t>
      </w:r>
      <w:r>
        <w:t xml:space="preserve">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w:t>
      </w:r>
      <w:hyperlink w:anchor="fig-vl">
        <w:r>
          <w:rPr>
            <w:rStyle w:val="Hyperlink"/>
          </w:rPr>
          <w:t xml:space="preserve">Fig 3</w:t>
        </w:r>
      </w:hyperlink>
      <w:r>
        <w:t xml:space="preserve">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b"/>
            </m:rPr>
            <m:t>Σ</m:t>
          </m:r>
          <m:r>
            <m:rPr>
              <m:sty m:val="p"/>
            </m:rPr>
            <m:t>)</m:t>
          </m:r>
        </m:oMath>
      </m:oMathPara>
    </w:p>
    <w:p>
      <w:pPr>
        <w:pStyle w:val="FirstParagraph"/>
      </w:pPr>
      <w:r>
        <w:t xml:space="preserve">where</w:t>
      </w:r>
      <w:r>
        <w:t xml:space="preserve"> </w:t>
      </w:r>
      <m:oMath>
        <m:r>
          <m:rPr>
            <m:sty m:val="b"/>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w:t>
      </w:r>
      <w:hyperlink w:anchor="fig-vl">
        <w:r>
          <w:rPr>
            <w:rStyle w:val="Hyperlink"/>
          </w:rPr>
          <w:t xml:space="preserve">Fig 3</w:t>
        </w:r>
      </w:hyperlink>
      <w:r>
        <w:t xml:space="preserve">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20" w:name="fig-diagram"/>
          <w:p>
            <w:pPr>
              <w:pStyle w:val="Compact"/>
              <w:jc w:val="center"/>
            </w:pPr>
            <w:r>
              <w:drawing>
                <wp:inline>
                  <wp:extent cx="5334000" cy="3291397"/>
                  <wp:effectExtent b="0" l="0" r="0" t="0"/>
                  <wp:docPr descr="" title="" id="18" name="Picture"/>
                  <a:graphic>
                    <a:graphicData uri="http://schemas.openxmlformats.org/drawingml/2006/picture">
                      <pic:pic>
                        <pic:nvPicPr>
                          <pic:cNvPr descr="../results/manuscript_figures/fig1_diagram.png" id="19" name="Picture"/>
                          <pic:cNvPicPr>
                            <a:picLocks noChangeArrowheads="1" noChangeAspect="1"/>
                          </pic:cNvPicPr>
                        </pic:nvPicPr>
                        <pic:blipFill>
                          <a:blip r:embed="rId1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 1:</w:t>
            </w:r>
            <w:r>
              <w:t xml:space="preserve"> </w:t>
            </w:r>
            <w:r>
              <w:rPr>
                <w:b/>
                <w:bCs/>
              </w:rPr>
              <w:t xml:space="preserve">Schematic of the model.</w:t>
            </w:r>
            <w:r>
              <w:t xml:space="preserve"> </w:t>
            </w:r>
            <w:r>
              <w:t xml:space="preserve">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20"/>
        </w:tc>
      </w:tr>
    </w:tbl>
    <w:bookmarkEnd w:id="21"/>
    <w:bookmarkStart w:id="2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rPr>
                <m:sty m:val="p"/>
              </m:rPr>
              <m:t>H</m:t>
            </m:r>
            <m:r>
              <m:rPr>
                <m:sty m:val="p"/>
              </m:rPr>
              <m:t>H</m:t>
            </m:r>
            <m:r>
              <m:rPr>
                <m:sty m:val="p"/>
              </m:rPr>
              <m:t>,</m:t>
            </m:r>
            <m:r>
              <m:t>i</m:t>
            </m:r>
          </m:sub>
        </m:sSub>
      </m:oMath>
      <w:r>
        <w:t xml:space="preserve"> </w:t>
      </w:r>
      <w:r>
        <w:t xml:space="preserve">and daily non-household contacts</w:t>
      </w:r>
      <w:r>
        <w:t xml:space="preserve"> </w:t>
      </w:r>
      <m:oMath>
        <m:sSub>
          <m:e>
            <m:r>
              <m:t>N</m:t>
            </m:r>
          </m:e>
          <m:sub>
            <m:r>
              <m:rPr>
                <m:sty m:val="p"/>
              </m:rPr>
              <m:t>N</m:t>
            </m:r>
            <m:r>
              <m:rPr>
                <m:sty m:val="p"/>
              </m:rPr>
              <m:t>H</m:t>
            </m:r>
            <m:r>
              <m:rPr>
                <m:sty m:val="p"/>
              </m:rP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rPr>
                <m:sty m:val="p"/>
              </m:rPr>
              <m:t>H</m:t>
            </m:r>
            <m:r>
              <m:rPr>
                <m:sty m:val="p"/>
              </m:rP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rPr>
                <m:sty m:val="p"/>
              </m:rPr>
              <m:t>N</m:t>
            </m:r>
            <m:r>
              <m:rPr>
                <m:sty m:val="p"/>
              </m:rPr>
              <m:t>H</m:t>
            </m:r>
            <m:r>
              <m:rPr>
                <m:sty m:val="p"/>
              </m:rPr>
              <m:t>H</m:t>
            </m:r>
            <m:r>
              <m:rPr>
                <m:sty m:val="p"/>
              </m:rPr>
              <m:t>,</m:t>
            </m:r>
            <m:r>
              <m:t>i</m:t>
            </m:r>
            <m:r>
              <m:rPr>
                <m:sty m:val="p"/>
              </m:rPr>
              <m:t>,</m:t>
            </m:r>
            <m:r>
              <m:t>j</m:t>
            </m:r>
            <m:r>
              <m:rPr>
                <m:sty m:val="p"/>
              </m:rPr>
              <m:t>,</m:t>
            </m:r>
            <m:r>
              <m:t>t</m:t>
            </m:r>
          </m:sub>
        </m:sSub>
      </m:oMath>
      <w:r>
        <w:t xml:space="preserve">, defined as the proportion of a 24-hour period that the contact lasted (S1 Fig). For the pandemic time periods the duration was sampled from the contact durations for the same survey participant as the contact numbers, where these were available. This ensured that correlation between number of contacts and contact duration was maintained (S2 Fig).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2"/>
    <w:bookmarkStart w:id="23"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H</m:t>
                  </m:r>
                  <m:r>
                    <m:rPr>
                      <m:sty m:val="p"/>
                    </m:rP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rPr>
                      <m:sty m:val="p"/>
                    </m:rPr>
                    <m:t>N</m:t>
                  </m:r>
                  <m:r>
                    <m:rPr>
                      <m:sty m:val="p"/>
                    </m:rPr>
                    <m:t>H</m:t>
                  </m:r>
                  <m:r>
                    <m:rPr>
                      <m:sty m:val="p"/>
                    </m:rP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rPr>
            <m:sty m:val="p"/>
          </m:rPr>
          <m:t>X</m:t>
        </m:r>
      </m:oMath>
      <w:r>
        <w:t xml:space="preserve">,</w:t>
      </w:r>
      <w:r>
        <w:t xml:space="preserve"> </w:t>
      </w:r>
      <m:oMath>
        <m:sSub>
          <m:e>
            <m:r>
              <m:t>p</m:t>
            </m:r>
          </m:e>
          <m:sub>
            <m:r>
              <m:rPr>
                <m:sty m:val="p"/>
              </m:rPr>
              <m:t>X</m:t>
            </m:r>
            <m:r>
              <m:rPr>
                <m:sty m:val="p"/>
              </m:rPr>
              <m:t>,</m:t>
            </m:r>
            <m:r>
              <m:t>i</m:t>
            </m:r>
            <m:r>
              <m:rPr>
                <m:sty m:val="p"/>
              </m:rPr>
              <m:t>,</m:t>
            </m:r>
            <m:r>
              <m:t>j</m:t>
            </m:r>
            <m:r>
              <m:rPr>
                <m:sty m:val="p"/>
              </m:rPr>
              <m:t>,</m:t>
            </m:r>
            <m:r>
              <m:t>t</m:t>
            </m:r>
          </m:sub>
        </m:sSub>
      </m:oMath>
      <w:r>
        <w:t xml:space="preserve">, where</w:t>
      </w:r>
      <w:r>
        <w:t xml:space="preserve"> </w:t>
      </w:r>
      <m:oMath>
        <m:r>
          <m:rPr>
            <m:sty m:val="p"/>
          </m:rPr>
          <m:t>X</m:t>
        </m:r>
        <m:r>
          <m:rPr>
            <m:sty m:val="p"/>
          </m:rPr>
          <m:t>∈</m:t>
        </m:r>
        <m:r>
          <m:rPr>
            <m:sty m:val="p"/>
          </m:rPr>
          <m:t>{</m:t>
        </m:r>
        <m:r>
          <m:rPr>
            <m:sty m:val="p"/>
          </m:rPr>
          <m:t>H</m:t>
        </m:r>
        <m:r>
          <m:rPr>
            <m:sty m:val="p"/>
          </m:rPr>
          <m:t>H</m:t>
        </m:r>
        <m:r>
          <m:rPr>
            <m:sty m:val="p"/>
          </m:rPr>
          <m:t>,</m:t>
        </m:r>
        <m:r>
          <m:rPr>
            <m:sty m:val="p"/>
          </m:rPr>
          <m:t>N</m:t>
        </m:r>
        <m:r>
          <m:rPr>
            <m:sty m:val="p"/>
          </m:rPr>
          <m:t>H</m:t>
        </m:r>
        <m:r>
          <m:rPr>
            <m:sty m:val="p"/>
          </m:rPr>
          <m:t>H</m:t>
        </m:r>
        <m:r>
          <m:rPr>
            <m:sty m:val="p"/>
          </m:rPr>
          <m:t>}</m:t>
        </m:r>
      </m:oMath>
      <w:r>
        <w:t xml:space="preserve">, given by</w:t>
      </w:r>
    </w:p>
    <w:p>
      <w:pPr>
        <w:pStyle w:val="BodyText"/>
      </w:pPr>
      <m:oMathPara>
        <m:oMathParaPr>
          <m:jc m:val="center"/>
        </m:oMathParaPr>
        <m:oMath>
          <m:sSub>
            <m:e>
              <m:r>
                <m:t>p</m:t>
              </m:r>
            </m:e>
            <m:sub>
              <m:r>
                <m:rPr>
                  <m:sty m:val="p"/>
                </m:rP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rPr>
                <m:sty m:val="p"/>
              </m:rP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p>
    <w:p>
      <w:pPr>
        <w:pStyle w:val="BodyText"/>
      </w:pP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rPr>
                              <m:sty m:val="p"/>
                            </m:rPr>
                            <m:t>H</m:t>
                          </m:r>
                          <m:r>
                            <m:rPr>
                              <m:sty m:val="p"/>
                            </m:rPr>
                            <m:t>H</m:t>
                          </m:r>
                          <m:r>
                            <m:rPr>
                              <m:sty m:val="p"/>
                            </m:rPr>
                            <m:t>,</m:t>
                          </m:r>
                          <m:r>
                            <m:t>i</m:t>
                          </m:r>
                        </m:sub>
                      </m:sSub>
                    </m:sup>
                    <m:e>
                      <m:sSub>
                        <m:e>
                          <m:r>
                            <m:rPr>
                              <m:sty m:val="p"/>
                            </m:rPr>
                            <m:t>i</m:t>
                          </m:r>
                          <m:r>
                            <m:rPr>
                              <m:sty m:val="p"/>
                            </m:rPr>
                            <m:t>n</m:t>
                          </m:r>
                          <m:r>
                            <m:rPr>
                              <m:sty m:val="p"/>
                            </m:rPr>
                            <m:t>f</m:t>
                          </m:r>
                        </m:e>
                        <m:sub>
                          <m:r>
                            <m:rPr>
                              <m:sty m:val="p"/>
                            </m:rPr>
                            <m:t>H</m:t>
                          </m:r>
                          <m:r>
                            <m:rPr>
                              <m:sty m:val="p"/>
                            </m:rP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rPr>
                              <m:sty m:val="p"/>
                            </m:rPr>
                            <m:t>N</m:t>
                          </m:r>
                          <m:r>
                            <m:rPr>
                              <m:sty m:val="p"/>
                            </m:rPr>
                            <m:t>H</m:t>
                          </m:r>
                          <m:r>
                            <m:rPr>
                              <m:sty m:val="p"/>
                            </m:rPr>
                            <m:t>H</m:t>
                          </m:r>
                          <m:r>
                            <m:rPr>
                              <m:sty m:val="p"/>
                            </m:rPr>
                            <m:t>,</m:t>
                          </m:r>
                          <m:r>
                            <m:t>i</m:t>
                          </m:r>
                          <m:r>
                            <m:rPr>
                              <m:sty m:val="p"/>
                            </m:rPr>
                            <m:t>,</m:t>
                          </m:r>
                          <m:r>
                            <m:t>t</m:t>
                          </m:r>
                        </m:sub>
                      </m:sSub>
                    </m:sup>
                    <m:e>
                      <m:sSub>
                        <m:e>
                          <m:r>
                            <m:rPr>
                              <m:sty m:val="p"/>
                            </m:rPr>
                            <m:t>i</m:t>
                          </m:r>
                          <m:r>
                            <m:rPr>
                              <m:sty m:val="p"/>
                            </m:rPr>
                            <m:t>n</m:t>
                          </m:r>
                          <m:r>
                            <m:rPr>
                              <m:sty m:val="p"/>
                            </m:rPr>
                            <m:t>f</m:t>
                          </m:r>
                        </m:e>
                        <m:sub>
                          <m:r>
                            <m:rPr>
                              <m:sty m:val="p"/>
                            </m:rPr>
                            <m:t>N</m:t>
                          </m:r>
                          <m:r>
                            <m:rPr>
                              <m:sty m:val="p"/>
                            </m:rPr>
                            <m:t>H</m:t>
                          </m:r>
                          <m:r>
                            <m:rPr>
                              <m:sty m:val="p"/>
                            </m:rP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1.1 and 4.7.</w:t>
      </w:r>
    </w:p>
    <w:bookmarkEnd w:id="23"/>
    <w:bookmarkEnd w:id="24"/>
    <w:bookmarkStart w:id="2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5"/>
    <w:bookmarkStart w:id="2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6"/>
    <w:bookmarkEnd w:id="27"/>
    <w:bookmarkStart w:id="54" w:name="results"/>
    <w:p>
      <w:pPr>
        <w:pStyle w:val="Heading2"/>
      </w:pPr>
      <w:r>
        <w:t xml:space="preserve">Results</w:t>
      </w:r>
    </w:p>
    <w:bookmarkStart w:id="33" w:name="X9b714365ed5b38b26107b1c0144f5b2f891c052"/>
    <w:p>
      <w:pPr>
        <w:pStyle w:val="Heading3"/>
      </w:pPr>
      <w:r>
        <w:t xml:space="preserve">Changes in the distribution of social contacts with changes in the intensity of restrictions</w:t>
      </w:r>
    </w:p>
    <w:p>
      <w:pPr>
        <w:pStyle w:val="FirstParagraph"/>
      </w:pPr>
      <w:r>
        <w:t xml:space="preserve">The age distribution of all participants in the BBC Pandemic survey and of the participants in each of the nine periods of the CoMix survey is shown in S3 Fig. Relative to the mid-2020 age distribution of the UK population, children and older adults (70+ years) are under-represented in the BBC Pandemic data. The age distribution of CoMix participants is representative of the general population (with slight under-representation of children</w:t>
      </w:r>
      <w:r>
        <w:t xml:space="preserve"> </w:t>
      </w:r>
      <m:oMath>
        <m:r>
          <m:rPr>
            <m:sty m:val="p"/>
          </m:rPr>
          <m:t>≤</m:t>
        </m:r>
      </m:oMath>
      <w:r>
        <w:t xml:space="preserve"> </w:t>
      </w:r>
      <w:r>
        <w:t xml:space="preserve">4 years and over-representation of adults aged 50-69 years) and remains fairly stable across the different time periods.</w:t>
      </w:r>
    </w:p>
    <w:p>
      <w:pPr>
        <w:pStyle w:val="BodyText"/>
      </w:pPr>
      <w:hyperlink w:anchor="fig-contacts">
        <w:r>
          <w:rPr>
            <w:rStyle w:val="Hyperlink"/>
          </w:rPr>
          <w:t xml:space="preserve">Fig 2</w:t>
        </w:r>
      </w:hyperlink>
      <w:r>
        <w:t xml:space="preserve">A and</w:t>
      </w:r>
      <w:r>
        <w:t xml:space="preserve"> </w:t>
      </w:r>
      <w:hyperlink w:anchor="tbl-contacts">
        <w:r>
          <w:rPr>
            <w:rStyle w:val="Hyperlink"/>
          </w:rPr>
          <w:t xml:space="preserve">Table 1</w:t>
        </w:r>
      </w:hyperlink>
      <w:r>
        <w:t xml:space="preserve"> </w:t>
      </w:r>
      <w:r>
        <w:t xml:space="preserve">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1" w:name="fig-contacts"/>
          <w:p>
            <w:pPr>
              <w:pStyle w:val="Compact"/>
              <w:jc w:val="center"/>
            </w:pPr>
            <w:r>
              <w:drawing>
                <wp:inline>
                  <wp:extent cx="5334000" cy="8128972"/>
                  <wp:effectExtent b="0" l="0" r="0" t="0"/>
                  <wp:docPr descr="" title="" id="29" name="Picture"/>
                  <a:graphic>
                    <a:graphicData uri="http://schemas.openxmlformats.org/drawingml/2006/picture">
                      <pic:pic>
                        <pic:nvPicPr>
                          <pic:cNvPr descr="../results/manuscript_figures/fig2_contacts.png" id="30" name="Picture"/>
                          <pic:cNvPicPr>
                            <a:picLocks noChangeArrowheads="1" noChangeAspect="1"/>
                          </pic:cNvPicPr>
                        </pic:nvPicPr>
                        <pic:blipFill>
                          <a:blip r:embed="rId2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 2:</w:t>
            </w:r>
            <w:r>
              <w:t xml:space="preserve"> </w:t>
            </w:r>
            <w:r>
              <w:rPr>
                <w:b/>
                <w:bCs/>
              </w:rPr>
              <w:t xml:space="preserve">Changes in the distribution of social contacts in the UK from pre-pandemic to May 2021.</w:t>
            </w:r>
            <w:r>
              <w:t xml:space="preserve"> </w:t>
            </w:r>
            <w:r>
              <w:t xml:space="preserve">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 See S4 Fig for the BBC Pandemic contact distribution with an imputed heavier tail, which is used to perform a sensitivity analysis.</w:t>
            </w:r>
          </w:p>
          <w:bookmarkEnd w:id="31"/>
        </w:tc>
      </w:tr>
    </w:tbl>
    <w:tbl>
      <w:tblPr>
        <w:tblStyle w:val="Table"/>
        <w:tblW w:type="pct" w:w="5000"/>
        <w:tblLayout w:type="fixed"/>
        <w:tblLook w:firstRow="0" w:lastRow="0" w:firstColumn="0" w:lastColumn="0" w:noHBand="0" w:noVBand="0" w:val="0000"/>
      </w:tblPr>
      <w:tblGrid>
        <w:gridCol w:w="7920"/>
      </w:tblGrid>
      <w:tr>
        <w:tc>
          <w:tcPr/>
          <w:bookmarkStart w:id="3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2"/>
          <w:p/>
        </w:tc>
      </w:tr>
    </w:tbl>
    <w:p>
      <w:pPr>
        <w:pStyle w:val="BodyText"/>
      </w:pPr>
      <w:r>
        <w:t xml:space="preserve">Different pandemic time periods are based on lockdowns and different levels of restrictions.</w:t>
      </w:r>
      <w:r>
        <w:br/>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0.7 during the pandemic compared to 1.5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 2</w:t>
        </w:r>
      </w:hyperlink>
      <w:r>
        <w:t xml:space="preserve">C).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0.5 and 0.7 in the remaining 2020 periods (</w:t>
      </w:r>
      <w:hyperlink w:anchor="fig-contacts">
        <w:r>
          <w:rPr>
            <w:rStyle w:val="Hyperlink"/>
          </w:rPr>
          <w:t xml:space="preserve">Fig 2</w:t>
        </w:r>
      </w:hyperlink>
      <w:r>
        <w:t xml:space="preserve">C).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(S5 Fig).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 180 minutes) for out-of-household contacts compared to 480 minutes (8 hours) (IQR: 180 – 1080 minutes) for household contacts (S1 Fig). S6 Fig, in which contacts are stratified by age as well household/out-of-household, shows that both household and out-of-household contacts in children (&lt;18 years) remained higher than those in adults throughout 2020 and early 2021, with significant increases in out-of-household contacts of children during periods when schools were open. Contact levels were similar for males and females across all time periods.</w:t>
      </w:r>
    </w:p>
    <w:bookmarkEnd w:id="33"/>
    <w:bookmarkStart w:id="3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w:t>
      </w:r>
      <w:hyperlink w:anchor="fig-vl">
        <w:r>
          <w:rPr>
            <w:rStyle w:val="Hyperlink"/>
          </w:rPr>
          <w:t xml:space="preserve">Fig 3</w:t>
        </w:r>
      </w:hyperlink>
      <w:r>
        <w:t xml:space="preserve">A). Mapping viral load to infectivity via a logistic function based on viral load and culture from Pickering et al.</w:t>
      </w:r>
      <w:r>
        <w:t xml:space="preserve"> </w:t>
      </w:r>
      <w:r>
        <w:t xml:space="preserve">[14]</w:t>
      </w:r>
      <w:r>
        <w:t xml:space="preserve"> </w:t>
      </w:r>
      <w:r>
        <w:t xml:space="preserve">(</w:t>
      </w:r>
      <w:hyperlink w:anchor="fig-vl">
        <w:r>
          <w:rPr>
            <w:rStyle w:val="Hyperlink"/>
          </w:rPr>
          <w:t xml:space="preserve">Fig 3</w:t>
        </w:r>
      </w:hyperlink>
      <w:r>
        <w:t xml:space="preserve">B), calculating the probability of infectivity by day (</w:t>
      </w:r>
      <w:hyperlink w:anchor="fig-vl">
        <w:r>
          <w:rPr>
            <w:rStyle w:val="Hyperlink"/>
          </w:rPr>
          <w:t xml:space="preserve">Fig 3</w:t>
        </w:r>
      </w:hyperlink>
      <w:r>
        <w:t xml:space="preserve">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7" w:name="fig-vl"/>
          <w:p>
            <w:pPr>
              <w:pStyle w:val="Compact"/>
              <w:jc w:val="center"/>
            </w:pPr>
            <w:r>
              <w:drawing>
                <wp:inline>
                  <wp:extent cx="5334000" cy="2667000"/>
                  <wp:effectExtent b="0" l="0" r="0" t="0"/>
                  <wp:docPr descr="" title="" id="35" name="Picture"/>
                  <a:graphic>
                    <a:graphicData uri="http://schemas.openxmlformats.org/drawingml/2006/picture">
                      <pic:pic>
                        <pic:nvPicPr>
                          <pic:cNvPr descr="../results/manuscript_figures/fig3_vl.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 3:</w:t>
            </w:r>
            <w:r>
              <w:t xml:space="preserve"> </w:t>
            </w:r>
            <w:r>
              <w:rPr>
                <w:b/>
                <w:bCs/>
              </w:rPr>
              <w:t xml:space="preserve">Variation in viral load progression and infectivity.</w:t>
            </w:r>
            <w:r>
              <w:t xml:space="preserve"> </w:t>
            </w:r>
            <w:r>
              <w:t xml:space="preserve">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r>
              <w:t xml:space="preserve"> </w:t>
            </w:r>
            <w:r>
              <w:t xml:space="preserve">[14]</w:t>
            </w:r>
            <w:r>
              <w:t xml:space="preserve">. S7 Fig shows the difference in viral load trajectories and infectivity for the sensitivity analysis with double the standard deviation in the viral load trajectory parameters.</w:t>
            </w:r>
          </w:p>
          <w:bookmarkEnd w:id="37"/>
        </w:tc>
      </w:tr>
    </w:tbl>
    <w:bookmarkEnd w:id="38"/>
    <w:bookmarkStart w:id="4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0.48 (95% CI 0.47 – 0.51) (</w:t>
      </w:r>
      <w:hyperlink w:anchor="fig-rk">
        <w:r>
          <w:rPr>
            <w:rStyle w:val="Hyperlink"/>
          </w:rPr>
          <w:t xml:space="preserve">Fig 4</w:t>
        </w:r>
      </w:hyperlink>
      <w:r>
        <w:t xml:space="preserve">),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 0.41) and</w:t>
      </w:r>
      <w:r>
        <w:t xml:space="preserve"> </w:t>
      </w:r>
      <m:oMath>
        <m:r>
          <m:t>k</m:t>
        </m:r>
      </m:oMath>
      <w:r>
        <w:t xml:space="preserve"> </w:t>
      </w:r>
      <w:r>
        <w:t xml:space="preserve">at 0.25 (95% CI 0.21 – 0.29).</w:t>
      </w:r>
      <w:r>
        <w:t xml:space="preserve"> </w:t>
      </w:r>
      <m:oMath>
        <m:r>
          <m:t>R</m:t>
        </m:r>
      </m:oMath>
      <w:r>
        <w:t xml:space="preserve"> </w:t>
      </w:r>
      <w:r>
        <w:t xml:space="preserve">rose as lockdown eased (</w:t>
      </w:r>
      <m:oMath>
        <m:r>
          <m:t>R</m:t>
        </m:r>
      </m:oMath>
      <w:r>
        <w:t xml:space="preserve"> </w:t>
      </w:r>
      <w:r>
        <w:t xml:space="preserve">= 0.66, 95% CI 0.56 – 0.8) and restrictions were relaxed in the summer of 2020 (</w:t>
      </w:r>
      <m:oMath>
        <m:r>
          <m:t>R</m:t>
        </m:r>
      </m:oMath>
      <w:r>
        <w:t xml:space="preserve"> </w:t>
      </w:r>
      <w:r>
        <w:t xml:space="preserve">= 1, 95% CI 0.92 – 1.1) and again as schools reopened in the autumn (</w:t>
      </w:r>
      <m:oMath>
        <m:r>
          <m:t>R</m:t>
        </m:r>
      </m:oMath>
      <w:r>
        <w:t xml:space="preserve"> </w:t>
      </w:r>
      <w:r>
        <w:t xml:space="preserve">= 1.5, 95% CI 1.3 – 1.6).</w:t>
      </w:r>
      <w:r>
        <w:t xml:space="preserve"> </w:t>
      </w:r>
      <m:oMath>
        <m:r>
          <m:t>R</m:t>
        </m:r>
      </m:oMath>
      <w:r>
        <w:t xml:space="preserve"> </w:t>
      </w:r>
      <w:r>
        <w:t xml:space="preserve">then decreased again during the second lockdown to 1 (95% CI 0.92 – 1.2).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 – 2.6) to 2.8 (95% CI 2.6 – 3) and a small reduction in</w:t>
      </w:r>
      <w:r>
        <w:t xml:space="preserve"> </w:t>
      </w:r>
      <m:oMath>
        <m:r>
          <m:t>k</m:t>
        </m:r>
      </m:oMath>
      <w:r>
        <w:t xml:space="preserve"> </w:t>
      </w:r>
      <w:r>
        <w:t xml:space="preserve">from 0.48 (95% CI 0.46 – 0.51) to 0.44 (95% CI 0.4 – 0.49) (S1 Table).</w:t>
      </w:r>
    </w:p>
    <w:tbl>
      <w:tblPr>
        <w:tblStyle w:val="Table"/>
        <w:tblW w:type="pct" w:w="5000"/>
        <w:tblLayout w:type="fixed"/>
        <w:tblLook w:firstRow="0" w:lastRow="0" w:firstColumn="0" w:lastColumn="0" w:noHBand="0" w:noVBand="0" w:val="0000"/>
      </w:tblPr>
      <w:tblGrid>
        <w:gridCol w:w="7920"/>
      </w:tblGrid>
      <w:tr>
        <w:tc>
          <w:tcPr/>
          <w:bookmarkStart w:id="42" w:name="fig-rk"/>
          <w:p>
            <w:pPr>
              <w:pStyle w:val="Compact"/>
              <w:jc w:val="center"/>
            </w:pPr>
            <w:r>
              <w:drawing>
                <wp:inline>
                  <wp:extent cx="5334000" cy="3556000"/>
                  <wp:effectExtent b="0" l="0" r="0" t="0"/>
                  <wp:docPr descr="" title="" id="40" name="Picture"/>
                  <a:graphic>
                    <a:graphicData uri="http://schemas.openxmlformats.org/drawingml/2006/picture">
                      <pic:pic>
                        <pic:nvPicPr>
                          <pic:cNvPr descr="../results/manuscript_figures/fig4_rk.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 4:</w:t>
            </w:r>
            <w:r>
              <w:t xml:space="preserve"> </w:t>
            </w:r>
            <w:r>
              <w:rPr>
                <w:b/>
                <w:bCs/>
              </w:rPr>
              <w:t xml:space="preserve">Estimates of the mean and dispersion of negative binomial distributions fitted to simulated secondary infection distributions by time period in 2020.</w:t>
            </w:r>
            <w:r>
              <w:t xml:space="preserve"> </w:t>
            </w:r>
            <w:r>
              <w:t xml:space="preserve">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w:t>
            </w:r>
            <w:r>
              <w:t xml:space="preserve"> </w:t>
            </w:r>
            <w:r>
              <w:t xml:space="preserve">[17]</w:t>
            </w:r>
            <w:r>
              <w:t xml:space="preserve">.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2"/>
        </w:tc>
      </w:tr>
    </w:tbl>
    <w:bookmarkEnd w:id="43"/>
    <w:bookmarkStart w:id="4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1.5 – 1.9. If viral load is fixed at the median trajectory, but contacts are overdispersed, values of</w:t>
      </w:r>
      <w:r>
        <w:t xml:space="preserve"> </w:t>
      </w:r>
      <m:oMath>
        <m:r>
          <m:t>k</m:t>
        </m:r>
      </m:oMath>
      <w:r>
        <w:t xml:space="preserve"> </w:t>
      </w:r>
      <w:r>
        <w:t xml:space="preserve">are lower (0.11 – 0.74) and approximately equal to that of overdispersed contacts and variable viral load trajectories (0.11 –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w:t>
      </w:r>
      <w:hyperlink w:anchor="fig-vl">
        <w:r>
          <w:rPr>
            <w:rStyle w:val="Hyperlink"/>
          </w:rPr>
          <w:t xml:space="preserve">Fig 3</w:t>
        </w:r>
      </w:hyperlink>
      <w:r>
        <w:t xml:space="preserve">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 0.92) and variable viral loads were closer to those for overdispersed contacts and variable viral loads (0.08 – 0.33), but still higher (S8 Fig).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heterogen"/>
          <w:p>
            <w:pPr>
              <w:pStyle w:val="Compact"/>
              <w:jc w:val="center"/>
            </w:pPr>
            <w:r>
              <w:drawing>
                <wp:inline>
                  <wp:extent cx="5334000" cy="5866948"/>
                  <wp:effectExtent b="0" l="0" r="0" t="0"/>
                  <wp:docPr descr="" title="" id="45" name="Picture"/>
                  <a:graphic>
                    <a:graphicData uri="http://schemas.openxmlformats.org/drawingml/2006/picture">
                      <pic:pic>
                        <pic:nvPicPr>
                          <pic:cNvPr descr="../results/manuscript_figures/fig5_heterogen.png" id="46" name="Picture"/>
                          <pic:cNvPicPr>
                            <a:picLocks noChangeArrowheads="1" noChangeAspect="1"/>
                          </pic:cNvPicPr>
                        </pic:nvPicPr>
                        <pic:blipFill>
                          <a:blip r:embed="rId4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 5:</w:t>
            </w:r>
            <w:r>
              <w:t xml:space="preserve"> </w:t>
            </w:r>
            <w:r>
              <w:rPr>
                <w:b/>
                <w:bCs/>
              </w:rPr>
              <w:t xml:space="preserve">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w:t>
            </w:r>
            <w:r>
              <w:t xml:space="preserve"> </w:t>
            </w:r>
            <w:r>
              <w:t xml:space="preserve">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S8 Fig.</w:t>
            </w:r>
          </w:p>
          <w:bookmarkEnd w:id="47"/>
        </w:tc>
      </w:tr>
    </w:tbl>
    <w:bookmarkEnd w:id="48"/>
    <w:bookmarkStart w:id="5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w:t>
      </w:r>
      <w:hyperlink w:anchor="fig-testing">
        <w:r>
          <w:rPr>
            <w:rStyle w:val="Hyperlink"/>
          </w:rPr>
          <w:t xml:space="preserve">Fig 6</w:t>
        </w:r>
      </w:hyperlink>
      <w:r>
        <w:t xml:space="preserve">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70% (</w:t>
      </w:r>
      <w:hyperlink w:anchor="fig-testing">
        <w:r>
          <w:rPr>
            <w:rStyle w:val="Hyperlink"/>
          </w:rPr>
          <w:t xml:space="preserve">Fig 6</w:t>
        </w:r>
      </w:hyperlink>
      <w:r>
        <w:t xml:space="preserve">A). Pre-event testing acts similarly, with high uptake (&gt; 90%)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60% adherence required during relaxed restrictions with schools open (</w:t>
      </w:r>
      <w:hyperlink w:anchor="fig-testing">
        <w:r>
          <w:rPr>
            <w:rStyle w:val="Hyperlink"/>
          </w:rPr>
          <w:t xml:space="preserve">Fig 6</w:t>
        </w:r>
      </w:hyperlink>
      <w:r>
        <w:t xml:space="preserve">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w:t>
      </w:r>
      <w:hyperlink w:anchor="fig-testing">
        <w:r>
          <w:rPr>
            <w:rStyle w:val="Hyperlink"/>
          </w:rPr>
          <w:t xml:space="preserve">Fig 6</w:t>
        </w:r>
      </w:hyperlink>
      <w:r>
        <w:t xml:space="preserve">).</w:t>
      </w:r>
      <w:r>
        <w:t xml:space="preserve"> </w:t>
      </w:r>
      <w:r>
        <w:t xml:space="preserve">From the sensitivity analysis comparing the impact of regular testing with and without overdispersion in contacts (S9 Fig),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2" w:name="fig-testing"/>
          <w:p>
            <w:pPr>
              <w:pStyle w:val="Compact"/>
              <w:jc w:val="center"/>
            </w:pPr>
            <w:r>
              <w:drawing>
                <wp:inline>
                  <wp:extent cx="5334000" cy="8255870"/>
                  <wp:effectExtent b="0" l="0" r="0" t="0"/>
                  <wp:docPr descr="" title="" id="50" name="Picture"/>
                  <a:graphic>
                    <a:graphicData uri="http://schemas.openxmlformats.org/drawingml/2006/picture">
                      <pic:pic>
                        <pic:nvPicPr>
                          <pic:cNvPr descr="../results/manuscript_figures/fig6_testing.png" id="51" name="Picture"/>
                          <pic:cNvPicPr>
                            <a:picLocks noChangeArrowheads="1" noChangeAspect="1"/>
                          </pic:cNvPicPr>
                        </pic:nvPicPr>
                        <pic:blipFill>
                          <a:blip r:embed="rId4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 6:</w:t>
            </w:r>
            <w:r>
              <w:t xml:space="preserve"> </w:t>
            </w:r>
            <w:r>
              <w:rPr>
                <w:b/>
                <w:bCs/>
              </w:rPr>
              <w:t xml:space="preserve">Effect of regular and pre-event lateral flow testing on</w:t>
            </w:r>
            <w:r>
              <w:rPr>
                <w:b/>
                <w:bCs/>
              </w:rPr>
              <w:t xml:space="preserve"> </w:t>
            </w:r>
            <m:oMath>
              <m:r>
                <m:t>R</m:t>
              </m:r>
            </m:oMath>
            <w:r>
              <w:rPr>
                <w:b/>
                <w:bCs/>
              </w:rPr>
              <w:t xml:space="preserve">,</w:t>
            </w:r>
            <w:r>
              <w:rPr>
                <w:b/>
                <w:bCs/>
              </w:rPr>
              <w:t xml:space="preserve"> </w:t>
            </w:r>
            <m:oMath>
              <m:r>
                <m:t>k</m:t>
              </m:r>
            </m:oMath>
            <w:r>
              <w:rPr>
                <w:b/>
                <w:bCs/>
              </w:rPr>
              <w:t xml:space="preserve">, and the proportion infecting over 10 or 0 others for varying levels of uptake or adherence (horizontal axes) and background contact rates (columns).</w:t>
            </w:r>
            <w:r>
              <w:t xml:space="preserve"> </w:t>
            </w:r>
            <w:r>
              <w:t xml:space="preserve">A. Regular testing. B. Pre-event testing.</w:t>
            </w:r>
          </w:p>
          <w:bookmarkEnd w:id="52"/>
        </w:tc>
      </w:tr>
    </w:tbl>
    <w:bookmarkEnd w:id="53"/>
    <w:bookmarkEnd w:id="54"/>
    <w:bookmarkStart w:id="5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w:t>
      </w:r>
      <w:hyperlink w:anchor="fig-rk">
        <w:r>
          <w:rPr>
            <w:rStyle w:val="Hyperlink"/>
          </w:rPr>
          <w:t xml:space="preserve">Fig 4</w:t>
        </w:r>
      </w:hyperlink>
      <w:r>
        <w:t xml:space="preserve">).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w:t>
      </w:r>
      <w:hyperlink w:anchor="fig-contacts">
        <w:r>
          <w:rPr>
            <w:rStyle w:val="Hyperlink"/>
          </w:rPr>
          <w:t xml:space="preserve">Fig 2</w:t>
        </w:r>
      </w:hyperlink>
      <w:r>
        <w:t xml:space="preserve">C) can be used to estimate dynamic shifts in the mean and overdispersion of the reproduction number (</w:t>
      </w:r>
      <w:hyperlink w:anchor="fig-rk">
        <w:r>
          <w:rPr>
            <w:rStyle w:val="Hyperlink"/>
          </w:rPr>
          <w:t xml:space="preserve">Fig 4</w:t>
        </w:r>
      </w:hyperlink>
      <w:r>
        <w:t xml:space="preserve">).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w:t>
      </w:r>
      <w:hyperlink w:anchor="fig-heterogen">
        <w:r>
          <w:rPr>
            <w:rStyle w:val="Hyperlink"/>
          </w:rPr>
          <w:t xml:space="preserve">Fig 5</w:t>
        </w:r>
      </w:hyperlink>
      <w:r>
        <w:t xml:space="preserve">).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In their analysis of the CoMix data, Gimma et al.</w:t>
      </w:r>
      <w:r>
        <w:t xml:space="preserve"> </w:t>
      </w:r>
      <w:r>
        <w:t xml:space="preserve">[11]</w:t>
      </w:r>
      <w:r>
        <w:t xml:space="preserve"> </w:t>
      </w:r>
      <w:r>
        <w:t xml:space="preserve">found that school-aged children consistently had higher numbers of contacts across both lockdowns and periods of relaxed restrictions than working-age adults, who in turn had higher numbers of contacts than older adults (60+ years). Contact levels also varied with employment status, with part-time-employed participants having more contacts than full-time or self-employed participants. Another analysis of the CoMix data that focused on individuals with high numbers of contacts</w:t>
      </w:r>
      <w:r>
        <w:t xml:space="preserve"> </w:t>
      </w:r>
      <w:r>
        <w:t xml:space="preserve">[28]</w:t>
      </w:r>
      <w:r>
        <w:t xml:space="preserve"> </w:t>
      </w:r>
      <w:r>
        <w:t xml:space="preserve">identified that most reports of high numbers of contacts came from work and school settings and tended to be reported by participants in certain professions (teaching, retail, administration, construction, medicine, social work, hospitality). Some of this work is considered essential, and keeping schools open where possible is a high priority, so opportunities for reducing these contacts may be limited. This highlights the potential value of regular rapid testing as a way of preventing superspreading even when some individuals have many contacts.</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w:t>
      </w:r>
      <w:hyperlink w:anchor="fig-contacts">
        <w:r>
          <w:rPr>
            <w:rStyle w:val="Hyperlink"/>
          </w:rPr>
          <w:t xml:space="preserve">Fig 2</w:t>
        </w:r>
      </w:hyperlink>
      <w:r>
        <w:t xml:space="preserve">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 Another limitation of the BBC Pandemic contact data is that working-age adults were overrepresented among the participants, while children under 13 years were excluded (S3 Fig). It is possible that this may have led to some bias in the reported contact distributions. However, the similarity of contact patterns observed in the BBC Pandemic and UK POLYMOD datasets</w:t>
      </w:r>
      <w:r>
        <w:t xml:space="preserve"> </w:t>
      </w:r>
      <w:r>
        <w:t xml:space="preserve">[8]</w:t>
      </w:r>
      <w:r>
        <w:t xml:space="preserve"> </w:t>
      </w:r>
      <w:r>
        <w:t xml:space="preserve">suggests that the BBC Pandemic data is broadly representative of pre-pandemic contact patterns in the whole UK population.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[29]</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[30]</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(S8 Fig);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[31]</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[32]</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[33,34]</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[35,36]</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[37]</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pathogens that exhibit heterogeneous transmission, including other SARS coronaviruses, Ebola, measles, influenza, RSV, and adenoviruses</w:t>
      </w:r>
      <w:r>
        <w:t xml:space="preserve"> </w:t>
      </w:r>
      <w:r>
        <w:t xml:space="preserve">[3,38,39]</w:t>
      </w:r>
      <w:r>
        <w:t xml:space="preserve">. Moreover, the question of the relative contribution of variation in numbers of contacts and variation in infectiousness to heterogeneity in transmission is a universal one for infectious diseases.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pathogen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5"/>
    <w:bookmarkStart w:id="56" w:name="supporting-information"/>
    <w:p>
      <w:pPr>
        <w:pStyle w:val="Heading2"/>
      </w:pPr>
      <w:r>
        <w:t xml:space="preserve">Supporting Information</w:t>
      </w:r>
    </w:p>
    <w:bookmarkEnd w:id="56"/>
    <w:bookmarkStart w:id="57" w:name="fig-s1"/>
    <w:p>
      <w:pPr>
        <w:pStyle w:val="Heading2"/>
      </w:pPr>
      <w:r>
        <w:t xml:space="preserve">S1 Fig.</w:t>
      </w:r>
    </w:p>
    <w:p>
      <w:pPr>
        <w:pStyle w:val="FirstParagraph"/>
      </w:pPr>
      <w:r>
        <w:t xml:space="preserve">Distribution of the duration of contact for household and out-of-household contacts from the CoMix contact survey in the UK.</w:t>
      </w:r>
    </w:p>
    <w:bookmarkEnd w:id="57"/>
    <w:bookmarkStart w:id="58" w:name="fig-s2"/>
    <w:p>
      <w:pPr>
        <w:pStyle w:val="Heading2"/>
      </w:pPr>
      <w:r>
        <w:t xml:space="preserve">S2 Fig.</w:t>
      </w:r>
    </w:p>
    <w:p>
      <w:pPr>
        <w:pStyle w:val="FirstParagraph"/>
      </w:pPr>
      <w:r>
        <w:t xml:space="preserve">Correlation between number of contacts and mean contact duration for CoMix survey participants from March 2020 to May 2021.</w:t>
      </w:r>
    </w:p>
    <w:bookmarkEnd w:id="58"/>
    <w:bookmarkStart w:id="59" w:name="fig-s3"/>
    <w:p>
      <w:pPr>
        <w:pStyle w:val="Heading2"/>
      </w:pPr>
      <w:r>
        <w:t xml:space="preserve">S3 Fig.</w:t>
      </w:r>
    </w:p>
    <w:p>
      <w:pPr>
        <w:pStyle w:val="FirstParagraph"/>
      </w:pPr>
      <w:r>
        <w:t xml:space="preserve">Age distribution of participants in the BBC Pandemic (Pre-pandemic) contact survey and each of the nine time periods from the CoMix contact survey from March 2020 to May 2021 relative to the mid-2020 UK age distribution</w:t>
      </w:r>
      <w:r>
        <w:t xml:space="preserve"> </w:t>
      </w:r>
      <w:r>
        <w:t xml:space="preserve">[40]</w:t>
      </w:r>
      <w:r>
        <w:t xml:space="preserve">.</w:t>
      </w:r>
    </w:p>
    <w:bookmarkEnd w:id="59"/>
    <w:bookmarkStart w:id="60" w:name="fig-s4"/>
    <w:p>
      <w:pPr>
        <w:pStyle w:val="Heading2"/>
      </w:pPr>
      <w:r>
        <w:t xml:space="preserve">S4 Fig.</w:t>
      </w:r>
    </w:p>
    <w:p>
      <w:pPr>
        <w:pStyle w:val="FirstParagraph"/>
      </w:pPr>
      <w:r>
        <w:t xml:space="preserve">Contact distributions for three indicative timepoints before and during the pandemic in the UK with an imputed heavier tail in the Pre-pandemic (BBC Pandemic) contact distribution (cf.</w:t>
      </w:r>
      <w:r>
        <w:t xml:space="preserve"> </w:t>
      </w:r>
      <w:hyperlink w:anchor="fig-contacts">
        <w:r>
          <w:rPr>
            <w:rStyle w:val="Hyperlink"/>
          </w:rPr>
          <w:t xml:space="preserve">Fig 2</w:t>
        </w:r>
      </w:hyperlink>
      <w:r>
        <w:t xml:space="preserve">B).</w:t>
      </w:r>
    </w:p>
    <w:p>
      <w:pPr>
        <w:pStyle w:val="BodyText"/>
      </w:pPr>
      <w:r>
        <w:t xml:space="preserve">The heavier tail was imputed from the tails of contact distributions during periods of relaxed restrictions in the CoMix survey. We conducted a sensitivity analysis with this distribution to determine the effect of the heavier tail on</w:t>
      </w:r>
      <w:r>
        <w:t xml:space="preserve"> </w:t>
      </w:r>
      <m:oMath>
        <m:sSub>
          <m:e>
            <m:r>
              <m:t>R</m:t>
            </m:r>
          </m:e>
          <m:sub>
            <m:r>
              <m:t>0</m:t>
            </m:r>
          </m:sub>
        </m:sSub>
      </m:oMath>
      <w:r>
        <w:t xml:space="preserve"> </w:t>
      </w:r>
      <w:r>
        <w:t xml:space="preserve">and</w:t>
      </w:r>
      <w:r>
        <w:t xml:space="preserve"> </w:t>
      </w:r>
      <m:oMath>
        <m:r>
          <m:t>k</m:t>
        </m:r>
      </m:oMath>
      <w:r>
        <w:t xml:space="preserve"> </w:t>
      </w:r>
      <w:r>
        <w:t xml:space="preserve">(see S1 Table).</w:t>
      </w:r>
    </w:p>
    <w:bookmarkEnd w:id="60"/>
    <w:bookmarkStart w:id="61" w:name="fig-s5"/>
    <w:p>
      <w:pPr>
        <w:pStyle w:val="Heading2"/>
      </w:pPr>
      <w:r>
        <w:t xml:space="preserve">S5 Fig.</w:t>
      </w:r>
    </w:p>
    <w:p>
      <w:pPr>
        <w:pStyle w:val="FirstParagraph"/>
      </w:pPr>
      <w:r>
        <w:t xml:space="preserve">Distribution of the number of reported daily contacts for all time periods before (BBC Pandemic contact survey) and during (CoMix contact survey) the pandemic in the UK between March 2020 and May 2021.</w:t>
      </w:r>
    </w:p>
    <w:bookmarkEnd w:id="61"/>
    <w:bookmarkStart w:id="62" w:name="fig-s6"/>
    <w:p>
      <w:pPr>
        <w:pStyle w:val="Heading2"/>
      </w:pPr>
      <w:r>
        <w:t xml:space="preserve">S6 Fig.</w:t>
      </w:r>
    </w:p>
    <w:p>
      <w:pPr>
        <w:pStyle w:val="FirstParagraph"/>
      </w:pPr>
      <w:r>
        <w:t xml:space="preserve">Contact distributions by age and gender across the nine time periods from the CoMix contact survey from March 2020 to May 2021.</w:t>
      </w:r>
    </w:p>
    <w:bookmarkEnd w:id="62"/>
    <w:bookmarkStart w:id="63" w:name="fig-s7"/>
    <w:p>
      <w:pPr>
        <w:pStyle w:val="Heading2"/>
      </w:pPr>
      <w:r>
        <w:t xml:space="preserve">S7 Fig.</w:t>
      </w:r>
    </w:p>
    <w:p>
      <w:pPr>
        <w:pStyle w:val="FirstParagraph"/>
      </w:pPr>
      <w:r>
        <w:t xml:space="preserve">Comparison of viral load trajectories and infectivity for the sensitivity analysis with double the standard deviation in viral load trajectory parameters and those used in the main analysis.</w:t>
      </w:r>
    </w:p>
    <w:p>
      <w:pPr>
        <w:pStyle w:val="BodyText"/>
      </w:pPr>
      <w:r>
        <w:t xml:space="preserve">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r>
        <w:t xml:space="preserve"> </w:t>
      </w:r>
      <w:r>
        <w:t xml:space="preserve">[14]</w:t>
      </w:r>
      <w:r>
        <w:t xml:space="preserve">.</w:t>
      </w:r>
    </w:p>
    <w:bookmarkEnd w:id="63"/>
    <w:bookmarkStart w:id="64" w:name="fig-s8"/>
    <w:p>
      <w:pPr>
        <w:pStyle w:val="Heading2"/>
      </w:pPr>
      <w:r>
        <w:t xml:space="preserve">S8 Fig.</w:t>
      </w:r>
    </w:p>
    <w:p>
      <w:pPr>
        <w:pStyle w:val="FirstParagraph"/>
      </w:pPr>
      <w:r>
        <w:t xml:space="preserve">Sensitivity of estimates of dispersion of the secondary infection distribution in different time periods to the degree of variation in viral load trajectories.</w:t>
      </w:r>
    </w:p>
    <w:p>
      <w:pPr>
        <w:pStyle w:val="BodyText"/>
      </w:pPr>
      <w:r>
        <w:t xml:space="preserve">Left: standard deviation in distributions for viral load trajectory parameters from Kissler et al.</w:t>
      </w:r>
      <w:r>
        <w:t xml:space="preserve"> </w:t>
      </w:r>
      <w:r>
        <w:t xml:space="preserve">[13]</w:t>
      </w:r>
      <w:r>
        <w:t xml:space="preserve">. Right: standard deviation of viral load parameters doubled.</w:t>
      </w:r>
    </w:p>
    <w:bookmarkEnd w:id="64"/>
    <w:bookmarkStart w:id="65" w:name="fig-s9"/>
    <w:p>
      <w:pPr>
        <w:pStyle w:val="Heading2"/>
      </w:pPr>
      <w:r>
        <w:t xml:space="preserve">S9 Fig.</w:t>
      </w:r>
    </w:p>
    <w:p>
      <w:pPr>
        <w:pStyle w:val="FirstParagraph"/>
      </w:pPr>
      <w:r>
        <w:t xml:space="preserve">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65"/>
    <w:bookmarkStart w:id="66" w:name="tbl-s1"/>
    <w:p>
      <w:pPr>
        <w:pStyle w:val="Heading2"/>
      </w:pPr>
      <w:r>
        <w:t xml:space="preserve">S1 Table.</w:t>
      </w:r>
    </w:p>
    <w:p>
      <w:pPr>
        <w:pStyle w:val="FirstParagraph"/>
      </w:pPr>
      <w:r>
        <w:t xml:space="preserve">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bookmarkEnd w:id="66"/>
    <w:bookmarkStart w:id="67" w:name="tbl-s2"/>
    <w:p>
      <w:pPr>
        <w:pStyle w:val="Heading2"/>
      </w:pPr>
      <w:r>
        <w:t xml:space="preserve">S2 Table.</w:t>
      </w:r>
    </w:p>
    <w:p>
      <w:pPr>
        <w:pStyle w:val="FirstParagraph"/>
      </w:pPr>
      <w:r>
        <w:t xml:space="preserve">Sensitivity analysis of the effect on the mean and dispersion in contact rates comparing a negative binomial distribution to a zero-inflated negative binomial distribution.</w:t>
      </w:r>
    </w:p>
    <w:bookmarkEnd w:id="67"/>
    <w:bookmarkStart w:id="149" w:name="references"/>
    <w:p>
      <w:pPr>
        <w:pStyle w:val="Heading2"/>
      </w:pPr>
      <w:r>
        <w:t xml:space="preserve">References</w:t>
      </w:r>
    </w:p>
    <w:bookmarkStart w:id="148"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https://www.gov.uk/guidance/the-r-value-and-growth-rate</w:t>
        </w:r>
      </w:hyperlink>
    </w:p>
    <w:bookmarkEnd w:id="101"/>
    <w:bookmarkStart w:id="103"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chapman2021"/>
    <w:p>
      <w:pPr>
        <w:pStyle w:val="Bibliography"/>
      </w:pPr>
      <w:r>
        <w:t xml:space="preserve">28.</w:t>
      </w:r>
      <w:r>
        <w:t xml:space="preserve"> </w:t>
      </w:r>
      <w:r>
        <w:t xml:space="preserve">	</w:t>
      </w:r>
      <w:r>
        <w:t xml:space="preserve">Chapman L, Kucharski A, Munday J, Gimma A, Wong K, Edmunds J. Analysis of individuals with a high number of contacts in the CoMix study. 2021. Available:</w:t>
      </w:r>
      <w:r>
        <w:t xml:space="preserve"> </w:t>
      </w:r>
      <w:hyperlink r:id="rId122">
        <w:r>
          <w:rPr>
            <w:rStyle w:val="Hyperlink"/>
          </w:rPr>
          <w:t xml:space="preserve">https://assets.publishing.service.gov.uk/media/610c0fbee90e0706cc852394/S1281_CoMix_Report_-_high_numbers_of_contacts_SAGE_91.pdf</w:t>
        </w:r>
      </w:hyperlink>
    </w:p>
    <w:bookmarkEnd w:id="123"/>
    <w:bookmarkStart w:id="125" w:name="ref-ghafari2024"/>
    <w:p>
      <w:pPr>
        <w:pStyle w:val="Bibliography"/>
      </w:pPr>
      <w:r>
        <w:t xml:space="preserve">29.</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24">
        <w:r>
          <w:rPr>
            <w:rStyle w:val="Hyperlink"/>
          </w:rPr>
          <w:t xml:space="preserve">10.1038/s41586-024-07029-4</w:t>
        </w:r>
      </w:hyperlink>
    </w:p>
    <w:bookmarkEnd w:id="125"/>
    <w:bookmarkStart w:id="127" w:name="ref-puhach2023"/>
    <w:p>
      <w:pPr>
        <w:pStyle w:val="Bibliography"/>
      </w:pPr>
      <w:r>
        <w:t xml:space="preserve">30.</w:t>
      </w:r>
      <w:r>
        <w:t xml:space="preserve"> </w:t>
      </w:r>
      <w:r>
        <w:t xml:space="preserve">	</w:t>
      </w:r>
      <w:r>
        <w:t xml:space="preserve">Puhach O, Meyer B, Eckerle I. SARS-CoV-2 viral load and shedding kinetics. Nature Reviews Microbiology. 2023;21: 147–161. doi:</w:t>
      </w:r>
      <w:hyperlink r:id="rId126">
        <w:r>
          <w:rPr>
            <w:rStyle w:val="Hyperlink"/>
          </w:rPr>
          <w:t xml:space="preserve">10.1038/s41579-022-00822-w</w:t>
        </w:r>
      </w:hyperlink>
    </w:p>
    <w:bookmarkEnd w:id="127"/>
    <w:bookmarkStart w:id="129" w:name="ref-marks2021"/>
    <w:p>
      <w:pPr>
        <w:pStyle w:val="Bibliography"/>
      </w:pPr>
      <w:r>
        <w:t xml:space="preserve">31.</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8">
        <w:r>
          <w:rPr>
            <w:rStyle w:val="Hyperlink"/>
          </w:rPr>
          <w:t xml:space="preserve">10.1016/S1473-3099(20)30985-3</w:t>
        </w:r>
      </w:hyperlink>
    </w:p>
    <w:bookmarkEnd w:id="129"/>
    <w:bookmarkStart w:id="131" w:name="ref-ons2021"/>
    <w:p>
      <w:pPr>
        <w:pStyle w:val="Bibliography"/>
      </w:pPr>
      <w:r>
        <w:t xml:space="preserve">32.</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30">
        <w:r>
          <w:rPr>
            <w:rStyle w:val="Hyperlink"/>
          </w:rPr>
          <w:t xml:space="preserve">https://www.ons.gov.uk/peoplepopulationandcommunity/healthandsocialcare/healthandwellbeing/bulletins/coronavirusandselfisolationaftertestingpositiveinengland/8to13march2021</w:t>
        </w:r>
      </w:hyperlink>
    </w:p>
    <w:bookmarkEnd w:id="131"/>
    <w:bookmarkStart w:id="133" w:name="ref-ko2023"/>
    <w:p>
      <w:pPr>
        <w:pStyle w:val="Bibliography"/>
      </w:pPr>
      <w:r>
        <w:t xml:space="preserve">33.</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32">
        <w:r>
          <w:rPr>
            <w:rStyle w:val="Hyperlink"/>
          </w:rPr>
          <w:t xml:space="preserve">10.1038/s41598-023-40438-z</w:t>
        </w:r>
      </w:hyperlink>
    </w:p>
    <w:bookmarkEnd w:id="133"/>
    <w:bookmarkStart w:id="135" w:name="ref-hodcroft2025"/>
    <w:p>
      <w:pPr>
        <w:pStyle w:val="Bibliography"/>
      </w:pPr>
      <w:r>
        <w:t xml:space="preserve">34.</w:t>
      </w:r>
      <w:r>
        <w:t xml:space="preserve"> </w:t>
      </w:r>
      <w:r>
        <w:t xml:space="preserve">	</w:t>
      </w:r>
      <w:r>
        <w:t xml:space="preserve">Hodcroft EB, Wohlfender MS, Neher RA, Riou J, Althaus CL. Estimating re and overdispersion in secondary cases from the size of identical sequence clusters of SARS-CoV-2. PLoS Computational Biology. 2025;21: e1012960. doi:</w:t>
      </w:r>
      <w:hyperlink r:id="rId134">
        <w:r>
          <w:rPr>
            <w:rStyle w:val="Hyperlink"/>
          </w:rPr>
          <w:t xml:space="preserve">10.1371/journal.pcbi.1012960</w:t>
        </w:r>
      </w:hyperlink>
    </w:p>
    <w:bookmarkEnd w:id="135"/>
    <w:bookmarkStart w:id="137" w:name="ref-du2022"/>
    <w:p>
      <w:pPr>
        <w:pStyle w:val="Bibliography"/>
      </w:pPr>
      <w:r>
        <w:t xml:space="preserve">35.</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36">
        <w:r>
          <w:rPr>
            <w:rStyle w:val="Hyperlink"/>
          </w:rPr>
          <w:t xml:space="preserve">10.1111/tbed.14330</w:t>
        </w:r>
      </w:hyperlink>
    </w:p>
    <w:bookmarkEnd w:id="137"/>
    <w:bookmarkStart w:id="139" w:name="ref-wegehaupt2023"/>
    <w:p>
      <w:pPr>
        <w:pStyle w:val="Bibliography"/>
      </w:pPr>
      <w:r>
        <w:t xml:space="preserve">36.</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8">
        <w:r>
          <w:rPr>
            <w:rStyle w:val="Hyperlink"/>
          </w:rPr>
          <w:t xml:space="preserve">10.1186/s12889-023-15835-2</w:t>
        </w:r>
      </w:hyperlink>
    </w:p>
    <w:bookmarkEnd w:id="139"/>
    <w:bookmarkStart w:id="141" w:name="ref-nielsen2022"/>
    <w:p>
      <w:pPr>
        <w:pStyle w:val="Bibliography"/>
      </w:pPr>
      <w:r>
        <w:t xml:space="preserve">37.</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40">
        <w:r>
          <w:rPr>
            <w:rStyle w:val="Hyperlink"/>
          </w:rPr>
          <w:t xml:space="preserve">10.1016/j.epidem.2022.100613</w:t>
        </w:r>
      </w:hyperlink>
    </w:p>
    <w:bookmarkEnd w:id="141"/>
    <w:bookmarkStart w:id="143" w:name="ref-leung2021"/>
    <w:p>
      <w:pPr>
        <w:pStyle w:val="Bibliography"/>
      </w:pPr>
      <w:r>
        <w:t xml:space="preserve">38.</w:t>
      </w:r>
      <w:r>
        <w:t xml:space="preserve"> </w:t>
      </w:r>
      <w:r>
        <w:t xml:space="preserve">	</w:t>
      </w:r>
      <w:r>
        <w:t xml:space="preserve">Leung NHL. Transmissibility and transmission of respiratory viruses. Nature Reviews Microbiology. 2021;19: 528–545. doi:</w:t>
      </w:r>
      <w:hyperlink r:id="rId142">
        <w:r>
          <w:rPr>
            <w:rStyle w:val="Hyperlink"/>
          </w:rPr>
          <w:t xml:space="preserve">10.1038/s41579-021-00535-6</w:t>
        </w:r>
      </w:hyperlink>
    </w:p>
    <w:bookmarkEnd w:id="143"/>
    <w:bookmarkStart w:id="145" w:name="ref-lloydsmith2005"/>
    <w:p>
      <w:pPr>
        <w:pStyle w:val="Bibliography"/>
      </w:pPr>
      <w:r>
        <w:t xml:space="preserve">39.</w:t>
      </w:r>
      <w:r>
        <w:t xml:space="preserve"> </w:t>
      </w:r>
      <w:r>
        <w:t xml:space="preserve">	</w:t>
      </w:r>
      <w:r>
        <w:t xml:space="preserve">Lloyd-Smith JO, Schreiber SJ, Kopp PE, Getz WM. Superspreading and the effect of individual variation on disease emergence. Nature. 2005;438: 355–359. doi:</w:t>
      </w:r>
      <w:hyperlink r:id="rId144">
        <w:r>
          <w:rPr>
            <w:rStyle w:val="Hyperlink"/>
          </w:rPr>
          <w:t xml:space="preserve">10.1038/nature04153</w:t>
        </w:r>
      </w:hyperlink>
    </w:p>
    <w:bookmarkEnd w:id="145"/>
    <w:bookmarkStart w:id="147" w:name="ref-ons2022"/>
    <w:p>
      <w:pPr>
        <w:pStyle w:val="Bibliography"/>
      </w:pPr>
      <w:r>
        <w:t xml:space="preserve">40.</w:t>
      </w:r>
      <w:r>
        <w:t xml:space="preserve"> </w:t>
      </w:r>
      <w:r>
        <w:t xml:space="preserve">	</w:t>
      </w:r>
      <w:r>
        <w:t xml:space="preserve">Office for National Statistics. Estimates of the population for the UK, england, wales, scotland, and northern ireland: Mid-2020. 2022. Available:</w:t>
      </w:r>
      <w:r>
        <w:t xml:space="preserve"> </w:t>
      </w:r>
      <w:hyperlink r:id="rId146">
        <w:r>
          <w:rPr>
            <w:rStyle w:val="Hyperlink"/>
          </w:rPr>
          <w:t xml:space="preserve">https://www.ons.gov.uk/peoplepopulationandcommunity/populationandmigration/populationestimates/datasets/populationestimatesforukenglandandwalesscotlandandnorthernireland</w:t>
        </w:r>
      </w:hyperlink>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value-and-growth-rate"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_rels/footnotes.xml.rels><?xml version="1.0" encoding="UTF-8"?><Relationships xmlns="http://schemas.openxmlformats.org/package/2006/relationships"><Relationship Type="http://schemas.openxmlformats.org/officeDocument/2006/relationships/hyperlink" Id="rId122" Target="https://assets.publishing.service.gov.uk/media/610c0fbee90e0706cc852394/S1281_CoMix_Report_-_high_numbers_of_contacts_SAGE_91.pdf" TargetMode="External" /><Relationship Type="http://schemas.openxmlformats.org/officeDocument/2006/relationships/hyperlink" Id="rId84" Target="https://doi.org/10.1016/S1473-3099(20)30457-6" TargetMode="External" /><Relationship Type="http://schemas.openxmlformats.org/officeDocument/2006/relationships/hyperlink" Id="rId128"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40"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4"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42" Target="https://doi.org/10.1038/s41579-021-00535-6" TargetMode="External" /><Relationship Type="http://schemas.openxmlformats.org/officeDocument/2006/relationships/hyperlink" Id="rId126" Target="https://doi.org/10.1038/s41579-022-00822-w" TargetMode="External" /><Relationship Type="http://schemas.openxmlformats.org/officeDocument/2006/relationships/hyperlink" Id="rId118" Target="https://doi.org/10.1038/s41586-023-06952-2" TargetMode="External" /><Relationship Type="http://schemas.openxmlformats.org/officeDocument/2006/relationships/hyperlink" Id="rId124"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32"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6"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8"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134" Target="https://doi.org/10.1371/journal.pcbi.1012960"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value-and-growth-rate" TargetMode="External" /><Relationship Type="http://schemas.openxmlformats.org/officeDocument/2006/relationships/hyperlink" Id="rId130" Target="https://www.ons.gov.uk/peoplepopulationandcommunity/healthandsocialcare/healthandwellbeing/bulletins/coronavirusandselfisolationaftertestingpositiveinengland/8to13march2021" TargetMode="External" /><Relationship Type="http://schemas.openxmlformats.org/officeDocument/2006/relationships/hyperlink" Id="rId146" Target="https://www.ons.gov.uk/peoplepopulationandcommunity/populationandmigration/populationestimates/datasets/populationestimatesforukenglandandwalesscotlandandnorthernirela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2026-09-07T10:58:24Z</dcterms:created>
  <dcterms:modified xsi:type="dcterms:W3CDTF">2026-09-07T10:58:24Z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plos-computational-biology.csl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