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8.png" ContentType="image/png"/>
  <Override PartName="/word/media/rId34.png" ContentType="image/png"/>
  <Override PartName="/word/media/rId39.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7" w:name="methods"/>
    <w:p>
      <w:pPr>
        <w:pStyle w:val="Heading2"/>
      </w:pPr>
      <w:r>
        <w:t xml:space="preserve">Methods</w:t>
      </w:r>
    </w:p>
    <w:bookmarkStart w:id="11" w:name="ethics"/>
    <w:p>
      <w:pPr>
        <w:pStyle w:val="Heading3"/>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11"/>
    <w:bookmarkStart w:id="14" w:name="contact-data"/>
    <w:p>
      <w:pPr>
        <w:pStyle w:val="Heading3"/>
      </w:pPr>
      <w:r>
        <w:t xml:space="preserve">Contact data</w:t>
      </w:r>
    </w:p>
    <w:bookmarkStart w:id="1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2"/>
    <w:bookmarkStart w:id="1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3"/>
    <w:bookmarkEnd w:id="14"/>
    <w:bookmarkStart w:id="1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&lt;</m:t>
        </m:r>
        <m:r>
          <m:t>6</m:t>
        </m:r>
        <m:r>
          <m:rPr>
            <m:sty m:val="p"/>
          </m:rPr>
          <m:t>×</m:t>
        </m:r>
        <m:sSup>
          <m:e>
            <m:r>
              <m:t>10</m:t>
            </m:r>
          </m:e>
          <m:sup>
            <m:r>
              <m:rPr>
                <m:sty m:val="p"/>
              </m:rPr>
              <m:t>−</m:t>
            </m:r>
            <m:r>
              <m:t>8</m:t>
            </m:r>
          </m:sup>
        </m:sSup>
      </m:oMath>
      <w:r>
        <w:t xml:space="preserve">,</w:t>
      </w:r>
      <w:r>
        <w:t xml:space="preserve"> </w:t>
      </w:r>
      <m:oMath>
        <m:r>
          <m:rPr>
            <m:sty m:val="p"/>
          </m:rPr>
          <m:t>Δ</m:t>
        </m:r>
      </m:oMath>
      <w:r>
        <w:t xml:space="preserve">AIC = +2.0, LRT</w:t>
      </w:r>
      <w:r>
        <w:t xml:space="preserve"> </w:t>
      </w:r>
      <m:oMath>
        <m:r>
          <m:t>p</m:t>
        </m:r>
        <m:r>
          <m:rPr>
            <m:sty m:val="p"/>
          </m:rPr>
          <m:t>&gt;</m:t>
        </m:r>
        <m:r>
          <m:t>0.97</m:t>
        </m:r>
      </m:oMath>
      <w:r>
        <w:t xml:space="preserve">; Table S2).</w:t>
      </w:r>
    </w:p>
    <w:bookmarkEnd w:id="15"/>
    <w:bookmarkStart w:id="2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w:t>
      </w:r>
      <w:hyperlink w:anchor="fig-diagram">
        <w:r>
          <w:rPr>
            <w:rStyle w:val="Hyperlink"/>
          </w:rPr>
          <w:t xml:space="preserve">Figure 1</w:t>
        </w:r>
      </w:hyperlink>
      <w:r>
        <w:t xml:space="preserve">):</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w:t>
      </w:r>
      <w:r>
        <w:t xml:space="preserve"> </w:t>
      </w:r>
      <m:oMath>
        <m:sSub>
          <m:e>
            <m:r>
              <m:t>m</m:t>
            </m:r>
          </m:e>
          <m:sub>
            <m:r>
              <m:rPr>
                <m:sty m:val="p"/>
              </m:rPr>
              <m:t>c</m:t>
            </m:r>
            <m:r>
              <m:rPr>
                <m:sty m:val="p"/>
              </m:rPr>
              <m:t>o</m:t>
            </m:r>
            <m:r>
              <m:rPr>
                <m:sty m:val="p"/>
              </m:rPr>
              <m:t>n</m:t>
            </m:r>
            <m:r>
              <m:rPr>
                <m:sty m:val="p"/>
              </m:rPr>
              <m:t>v</m:t>
            </m:r>
          </m:sub>
        </m:sSub>
        <m:r>
          <m:rPr>
            <m:sty m:val="p"/>
          </m:rPr>
          <m:t>=</m:t>
        </m:r>
        <m:r>
          <m:rPr>
            <m:sty m:val="p"/>
          </m:rPr>
          <m:t>−</m:t>
        </m:r>
        <m:r>
          <m:t>3.60971</m:t>
        </m:r>
      </m:oMath>
      <w:r>
        <w:t xml:space="preserve"> </w:t>
      </w:r>
      <w:r>
        <w:t xml:space="preserve">and</w:t>
      </w:r>
      <w:r>
        <w:t xml:space="preserve"> </w:t>
      </w:r>
      <m:oMath>
        <m:sSub>
          <m:e>
            <m:r>
              <m:t>b</m:t>
            </m:r>
          </m:e>
          <m:sub>
            <m:r>
              <m:rPr>
                <m:sty m:val="p"/>
              </m:rPr>
              <m:t>c</m:t>
            </m:r>
            <m:r>
              <m:rPr>
                <m:sty m:val="p"/>
              </m:rPr>
              <m:t>o</m:t>
            </m:r>
            <m:r>
              <m:rPr>
                <m:sty m:val="p"/>
              </m:rPr>
              <m:t>n</m:t>
            </m:r>
            <m:r>
              <m:rPr>
                <m:sty m:val="p"/>
              </m:rPr>
              <m:t>v</m:t>
            </m:r>
          </m:sub>
        </m:sSub>
        <m:r>
          <m:rPr>
            <m:sty m:val="p"/>
          </m:rPr>
          <m:t>=</m:t>
        </m:r>
        <m:r>
          <m:t>40.93733</m:t>
        </m:r>
      </m:oMath>
      <w:r>
        <w:t xml:space="preserve"> </w:t>
      </w:r>
      <w:r>
        <w:t xml:space="preserve">are the slope and intercept of a linear regression of Ct value on log10-transformed RNA concentration from a standard curve.</w:t>
      </w:r>
    </w:p>
    <w:bookmarkEnd w:id="16"/>
    <w:bookmarkStart w:id="2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w:t>
      </w:r>
      <w:hyperlink w:anchor="fig-vl">
        <w:r>
          <w:rPr>
            <w:rStyle w:val="Hyperlink"/>
          </w:rPr>
          <w:t xml:space="preserve">Figure 3</w:t>
        </w:r>
      </w:hyperlink>
      <w:r>
        <w:t xml:space="preserve">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w:t>
      </w:r>
      <w:hyperlink w:anchor="fig-vl">
        <w:r>
          <w:rPr>
            <w:rStyle w:val="Hyperlink"/>
          </w:rPr>
          <w:t xml:space="preserve">Figure 3</w:t>
        </w:r>
      </w:hyperlink>
      <w:r>
        <w:t xml:space="preserve">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w:t>
      </w:r>
      <w:hyperlink w:anchor="fig-vl">
        <w:r>
          <w:rPr>
            <w:rStyle w:val="Hyperlink"/>
          </w:rPr>
          <w:t xml:space="preserve">Figure 3</w:t>
        </w:r>
      </w:hyperlink>
      <w:r>
        <w:t xml:space="preserve">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20" w:name="fig-diagram"/>
          <w:p>
            <w:pPr>
              <w:pStyle w:val="Compact"/>
              <w:jc w:val="center"/>
            </w:pPr>
            <w:r>
              <w:drawing>
                <wp:inline>
                  <wp:extent cx="5334000" cy="3291397"/>
                  <wp:effectExtent b="0" l="0" r="0" t="0"/>
                  <wp:docPr descr="" title="" id="18" name="Picture"/>
                  <a:graphic>
                    <a:graphicData uri="http://schemas.openxmlformats.org/drawingml/2006/picture">
                      <pic:pic>
                        <pic:nvPicPr>
                          <pic:cNvPr descr="../results/manuscript_figures/fig1_diagram.png" id="19" name="Picture"/>
                          <pic:cNvPicPr>
                            <a:picLocks noChangeArrowheads="1" noChangeAspect="1"/>
                          </pic:cNvPicPr>
                        </pic:nvPicPr>
                        <pic:blipFill>
                          <a:blip r:embed="rId1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20"/>
        </w:tc>
      </w:tr>
    </w:tbl>
    <w:bookmarkEnd w:id="21"/>
    <w:bookmarkStart w:id="2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rPr>
                <m:sty m:val="p"/>
              </m:rPr>
              <m:t>H</m:t>
            </m:r>
            <m:r>
              <m:rPr>
                <m:sty m:val="p"/>
              </m:rPr>
              <m:t>H</m:t>
            </m:r>
            <m:r>
              <m:rPr>
                <m:sty m:val="p"/>
              </m:rPr>
              <m:t>,</m:t>
            </m:r>
            <m:r>
              <m:t>i</m:t>
            </m:r>
          </m:sub>
        </m:sSub>
      </m:oMath>
      <w:r>
        <w:t xml:space="preserve"> </w:t>
      </w:r>
      <w:r>
        <w:t xml:space="preserve">and daily non-household contacts</w:t>
      </w:r>
      <w:r>
        <w:t xml:space="preserve"> </w:t>
      </w:r>
      <m:oMath>
        <m:sSub>
          <m:e>
            <m:r>
              <m:t>N</m:t>
            </m:r>
          </m:e>
          <m:sub>
            <m:r>
              <m:rPr>
                <m:sty m:val="p"/>
              </m:rPr>
              <m:t>N</m:t>
            </m:r>
            <m:r>
              <m:rPr>
                <m:sty m:val="p"/>
              </m:rPr>
              <m:t>H</m:t>
            </m:r>
            <m:r>
              <m:rPr>
                <m:sty m:val="p"/>
              </m:rP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rPr>
                <m:sty m:val="p"/>
              </m:rPr>
              <m:t>H</m:t>
            </m:r>
            <m:r>
              <m:rPr>
                <m:sty m:val="p"/>
              </m:rP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rPr>
                <m:sty m:val="p"/>
              </m:rPr>
              <m:t>N</m:t>
            </m:r>
            <m:r>
              <m:rPr>
                <m:sty m:val="p"/>
              </m:rPr>
              <m:t>H</m:t>
            </m:r>
            <m:r>
              <m:rPr>
                <m:sty m:val="p"/>
              </m:rP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2"/>
    <w:bookmarkStart w:id="23"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H</m:t>
                  </m:r>
                  <m:r>
                    <m:rPr>
                      <m:sty m:val="p"/>
                    </m:rP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N</m:t>
                  </m:r>
                  <m:r>
                    <m:rPr>
                      <m:sty m:val="p"/>
                    </m:rPr>
                    <m:t>H</m:t>
                  </m:r>
                  <m:r>
                    <m:rPr>
                      <m:sty m:val="p"/>
                    </m:rP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rPr>
            <m:sty m:val="p"/>
          </m:rPr>
          <m:t>X</m:t>
        </m:r>
      </m:oMath>
      <w:r>
        <w:t xml:space="preserve">,</w:t>
      </w:r>
      <w:r>
        <w:t xml:space="preserve"> </w:t>
      </w:r>
      <m:oMath>
        <m:sSub>
          <m:e>
            <m:r>
              <m:t>p</m:t>
            </m:r>
          </m:e>
          <m:sub>
            <m:r>
              <m:rPr>
                <m:sty m:val="p"/>
              </m:rPr>
              <m:t>X</m:t>
            </m:r>
            <m:r>
              <m:rPr>
                <m:sty m:val="p"/>
              </m:rPr>
              <m:t>,</m:t>
            </m:r>
            <m:r>
              <m:t>i</m:t>
            </m:r>
            <m:r>
              <m:rPr>
                <m:sty m:val="p"/>
              </m:rPr>
              <m:t>,</m:t>
            </m:r>
            <m:r>
              <m:t>j</m:t>
            </m:r>
            <m:r>
              <m:rPr>
                <m:sty m:val="p"/>
              </m:rPr>
              <m:t>,</m:t>
            </m:r>
            <m:r>
              <m:t>t</m:t>
            </m:r>
          </m:sub>
        </m:sSub>
      </m:oMath>
      <w:r>
        <w:t xml:space="preserve">, where</w:t>
      </w:r>
      <w:r>
        <w:t xml:space="preserve"> </w:t>
      </w:r>
      <m:oMath>
        <m:r>
          <m:rPr>
            <m:sty m:val="p"/>
          </m:rPr>
          <m:t>X</m:t>
        </m:r>
        <m:r>
          <m:rPr>
            <m:sty m:val="p"/>
          </m:rPr>
          <m:t>∈</m:t>
        </m:r>
        <m:r>
          <m:rPr>
            <m:sty m:val="p"/>
          </m:rPr>
          <m:t>{</m:t>
        </m:r>
        <m:r>
          <m:rPr>
            <m:sty m:val="p"/>
          </m:rPr>
          <m:t>H</m:t>
        </m:r>
        <m:r>
          <m:rPr>
            <m:sty m:val="p"/>
          </m:rPr>
          <m:t>H</m:t>
        </m:r>
        <m:r>
          <m:rPr>
            <m:sty m:val="p"/>
          </m:rPr>
          <m:t>,</m:t>
        </m:r>
        <m:r>
          <m:rPr>
            <m:sty m:val="p"/>
          </m:rPr>
          <m:t>N</m:t>
        </m:r>
        <m:r>
          <m:rPr>
            <m:sty m:val="p"/>
          </m:rPr>
          <m:t>H</m:t>
        </m:r>
        <m:r>
          <m:rPr>
            <m:sty m:val="p"/>
          </m:rPr>
          <m:t>H</m:t>
        </m:r>
        <m:r>
          <m:rPr>
            <m:sty m:val="p"/>
          </m:rPr>
          <m:t>}</m:t>
        </m:r>
      </m:oMath>
      <w:r>
        <w:t xml:space="preserve">, given by</w:t>
      </w:r>
    </w:p>
    <w:p>
      <w:pPr>
        <w:pStyle w:val="BodyText"/>
      </w:pPr>
      <m:oMathPara>
        <m:oMathParaPr>
          <m:jc m:val="center"/>
        </m:oMathParaPr>
        <m:oMath>
          <m:sSub>
            <m:e>
              <m:r>
                <m:t>p</m:t>
              </m:r>
            </m:e>
            <m:sub>
              <m:r>
                <m:rPr>
                  <m:sty m:val="p"/>
                </m:rP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rPr>
                              <m:sty m:val="p"/>
                            </m:rPr>
                            <m:t>H</m:t>
                          </m:r>
                          <m:r>
                            <m:rPr>
                              <m:sty m:val="p"/>
                            </m:rPr>
                            <m:t>H</m:t>
                          </m:r>
                          <m:r>
                            <m:rPr>
                              <m:sty m:val="p"/>
                            </m:rPr>
                            <m:t>,</m:t>
                          </m:r>
                          <m:r>
                            <m:t>i</m:t>
                          </m:r>
                        </m:sub>
                      </m:sSub>
                    </m:sup>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rPr>
                              <m:sty m:val="p"/>
                            </m:rPr>
                            <m:t>N</m:t>
                          </m:r>
                          <m:r>
                            <m:rPr>
                              <m:sty m:val="p"/>
                            </m:rPr>
                            <m:t>H</m:t>
                          </m:r>
                          <m:r>
                            <m:rPr>
                              <m:sty m:val="p"/>
                            </m:rPr>
                            <m:t>H</m:t>
                          </m:r>
                          <m:r>
                            <m:rPr>
                              <m:sty m:val="p"/>
                            </m:rPr>
                            <m:t>,</m:t>
                          </m:r>
                          <m:r>
                            <m:t>i</m:t>
                          </m:r>
                          <m:r>
                            <m:rPr>
                              <m:sty m:val="p"/>
                            </m:rPr>
                            <m:t>,</m:t>
                          </m:r>
                          <m:r>
                            <m:t>t</m:t>
                          </m:r>
                        </m:sub>
                      </m:sSub>
                    </m:sup>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1.1 and 4.7.</w:t>
      </w:r>
    </w:p>
    <w:bookmarkEnd w:id="23"/>
    <w:bookmarkEnd w:id="24"/>
    <w:bookmarkStart w:id="2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5"/>
    <w:bookmarkStart w:id="2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6"/>
    <w:bookmarkEnd w:id="27"/>
    <w:bookmarkStart w:id="54" w:name="results"/>
    <w:p>
      <w:pPr>
        <w:pStyle w:val="Heading2"/>
      </w:pPr>
      <w:r>
        <w:t xml:space="preserve">Results</w:t>
      </w:r>
    </w:p>
    <w:bookmarkStart w:id="33"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Figure S3.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hyperlink w:anchor="fig-contacts">
        <w:r>
          <w:rPr>
            <w:rStyle w:val="Hyperlink"/>
          </w:rPr>
          <w:t xml:space="preserve">Figure 2</w:t>
        </w:r>
      </w:hyperlink>
      <w:r>
        <w:t xml:space="preserve">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1" w:name="fig-contacts"/>
          <w:p>
            <w:pPr>
              <w:pStyle w:val="Compact"/>
              <w:jc w:val="center"/>
            </w:pPr>
            <w:r>
              <w:drawing>
                <wp:inline>
                  <wp:extent cx="5334000" cy="8128972"/>
                  <wp:effectExtent b="0" l="0" r="0" t="0"/>
                  <wp:docPr descr="" title="" id="29" name="Picture"/>
                  <a:graphic>
                    <a:graphicData uri="http://schemas.openxmlformats.org/drawingml/2006/picture">
                      <pic:pic>
                        <pic:nvPicPr>
                          <pic:cNvPr descr="../results/manuscript_figures/fig2_contacts.png" id="30" name="Picture"/>
                          <pic:cNvPicPr>
                            <a:picLocks noChangeArrowheads="1" noChangeAspect="1"/>
                          </pic:cNvPicPr>
                        </pic:nvPicPr>
                        <pic:blipFill>
                          <a:blip r:embed="rId2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Figure S4 for the BBC Pandemic contact distribution with an imputed heavier tail, which is used to perform a sensitivity analysis.</w:t>
            </w:r>
          </w:p>
          <w:bookmarkEnd w:id="31"/>
        </w:tc>
      </w:tr>
    </w:tbl>
    <w:tbl>
      <w:tblPr>
        <w:tblStyle w:val="Table"/>
        <w:tblW w:type="pct" w:w="5000"/>
        <w:tblLayout w:type="fixed"/>
        <w:tblLook w:firstRow="0" w:lastRow="0" w:firstColumn="0" w:lastColumn="0" w:noHBand="0" w:noVBand="0" w:val="0000"/>
      </w:tblPr>
      <w:tblGrid>
        <w:gridCol w:w="7920"/>
      </w:tblGrid>
      <w:tr>
        <w:tc>
          <w:tcPr/>
          <w:bookmarkStart w:id="3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2"/>
          <w:p/>
        </w:tc>
      </w:tr>
    </w:tbl>
    <w:p>
      <w:pPr>
        <w:pStyle w:val="BodyText"/>
      </w:pPr>
      <w:r>
        <w:t xml:space="preserve">Different pandemic time periods are based on lockdowns and different levels of restrictions.</w:t>
      </w:r>
      <w:r>
        <w:br/>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0.7 during the pandemic compared to 1.5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0.5 and 0.7 in the remaining 2020 periods (</w:t>
      </w:r>
      <w:hyperlink w:anchor="fig-contacts">
        <w:r>
          <w:rPr>
            <w:rStyle w:val="Hyperlink"/>
          </w:rPr>
          <w:t xml:space="preserve">Figure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S5).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 180 minutes) for out-of-household contacts compared to 480 minutes (8 hours) (IQR: 180 – 1080 minutes) for household contacts (Figure S1). Figure S6,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3"/>
    <w:bookmarkStart w:id="3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w:t>
      </w:r>
      <w:hyperlink w:anchor="fig-vl">
        <w:r>
          <w:rPr>
            <w:rStyle w:val="Hyperlink"/>
          </w:rPr>
          <w:t xml:space="preserve">Figure 3</w:t>
        </w:r>
      </w:hyperlink>
      <w:r>
        <w:t xml:space="preserve">A). Mapping viral load to infectivity via a logistic function based on viral load and culture from Pickering et al.</w:t>
      </w:r>
      <w:r>
        <w:t xml:space="preserve"> </w:t>
      </w:r>
      <w:r>
        <w:t xml:space="preserve">[14]</w:t>
      </w:r>
      <w:r>
        <w:t xml:space="preserve"> </w:t>
      </w:r>
      <w:r>
        <w:t xml:space="preserve">(</w:t>
      </w:r>
      <w:hyperlink w:anchor="fig-vl">
        <w:r>
          <w:rPr>
            <w:rStyle w:val="Hyperlink"/>
          </w:rPr>
          <w:t xml:space="preserve">Figure 3</w:t>
        </w:r>
      </w:hyperlink>
      <w:r>
        <w:t xml:space="preserve">B), calculating the probability of infectivity by day (</w:t>
      </w:r>
      <w:hyperlink w:anchor="fig-vl">
        <w:r>
          <w:rPr>
            <w:rStyle w:val="Hyperlink"/>
          </w:rPr>
          <w:t xml:space="preserve">Figure 3</w:t>
        </w:r>
      </w:hyperlink>
      <w:r>
        <w:t xml:space="preserve">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7" w:name="fig-vl"/>
          <w:p>
            <w:pPr>
              <w:pStyle w:val="Compact"/>
              <w:jc w:val="center"/>
            </w:pPr>
            <w:r>
              <w:drawing>
                <wp:inline>
                  <wp:extent cx="5334000" cy="2667000"/>
                  <wp:effectExtent b="0" l="0" r="0" t="0"/>
                  <wp:docPr descr="" title="" id="35" name="Picture"/>
                  <a:graphic>
                    <a:graphicData uri="http://schemas.openxmlformats.org/drawingml/2006/picture">
                      <pic:pic>
                        <pic:nvPicPr>
                          <pic:cNvPr descr="../results/manuscript_figures/fig3_vl.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S7 shows the difference in viral load trajectories and infectivity for the sensitivity analysis with double the standard deviation in the viral load trajectory parameters.</w:t>
            </w:r>
          </w:p>
          <w:bookmarkEnd w:id="37"/>
        </w:tc>
      </w:tr>
    </w:tbl>
    <w:bookmarkEnd w:id="38"/>
    <w:bookmarkStart w:id="4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0.48 (95% CI 0.47 – 0.51) (</w:t>
      </w:r>
      <w:hyperlink w:anchor="fig-rk">
        <w:r>
          <w:rPr>
            <w:rStyle w:val="Hyperlink"/>
          </w:rPr>
          <w:t xml:space="preserve">Figure 4</w:t>
        </w:r>
      </w:hyperlink>
      <w:r>
        <w:t xml:space="preserve">),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 0.41) and</w:t>
      </w:r>
      <w:r>
        <w:t xml:space="preserve"> </w:t>
      </w:r>
      <m:oMath>
        <m:r>
          <m:t>k</m:t>
        </m:r>
      </m:oMath>
      <w:r>
        <w:t xml:space="preserve"> </w:t>
      </w:r>
      <w:r>
        <w:t xml:space="preserve">at 0.24 (95% CI 0.21 – 0.29).</w:t>
      </w:r>
      <w:r>
        <w:t xml:space="preserve"> </w:t>
      </w:r>
      <m:oMath>
        <m:r>
          <m:t>R</m:t>
        </m:r>
      </m:oMath>
      <w:r>
        <w:t xml:space="preserve"> </w:t>
      </w:r>
      <w:r>
        <w:t xml:space="preserve">rose as lockdown eased (</w:t>
      </w:r>
      <m:oMath>
        <m:r>
          <m:t>R</m:t>
        </m:r>
      </m:oMath>
      <w:r>
        <w:t xml:space="preserve"> </w:t>
      </w:r>
      <w:r>
        <w:t xml:space="preserve">= 0.66, 95% CI 0.56 – 0.8) and restrictions were relaxed in the summer of 2020 (</w:t>
      </w:r>
      <m:oMath>
        <m:r>
          <m:t>R</m:t>
        </m:r>
      </m:oMath>
      <w:r>
        <w:t xml:space="preserve"> </w:t>
      </w:r>
      <w:r>
        <w:t xml:space="preserve">= 1, 95% CI 0.92 – 1.1) and again as schools reopened in the autumn (</w:t>
      </w:r>
      <m:oMath>
        <m:r>
          <m:t>R</m:t>
        </m:r>
      </m:oMath>
      <w:r>
        <w:t xml:space="preserve"> </w:t>
      </w:r>
      <w:r>
        <w:t xml:space="preserve">= 1.5, 95% CI 1.3 – 1.6).</w:t>
      </w:r>
      <w:r>
        <w:t xml:space="preserve"> </w:t>
      </w:r>
      <m:oMath>
        <m:r>
          <m:t>R</m:t>
        </m:r>
      </m:oMath>
      <w:r>
        <w:t xml:space="preserve"> </w:t>
      </w:r>
      <w:r>
        <w:t xml:space="preserve">then decreased again during the second lockdown to 1 (95% CI 0.92 – 1.2).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 – 2.6) to 2.7 (95% CI 2.6 – 2.9) and a small reduction in</w:t>
      </w:r>
      <w:r>
        <w:t xml:space="preserve"> </w:t>
      </w:r>
      <m:oMath>
        <m:r>
          <m:t>k</m:t>
        </m:r>
      </m:oMath>
      <w:r>
        <w:t xml:space="preserve"> </w:t>
      </w:r>
      <w:r>
        <w:t xml:space="preserve">from 0.48 (95% CI 0.46 – 0.51) to 0.46 (95% CI 0.42 – 0.5) (Table S1).</w:t>
      </w:r>
    </w:p>
    <w:tbl>
      <w:tblPr>
        <w:tblStyle w:val="Table"/>
        <w:tblW w:type="pct" w:w="5000"/>
        <w:tblLayout w:type="fixed"/>
        <w:tblLook w:firstRow="0" w:lastRow="0" w:firstColumn="0" w:lastColumn="0" w:noHBand="0" w:noVBand="0" w:val="0000"/>
      </w:tblPr>
      <w:tblGrid>
        <w:gridCol w:w="7920"/>
      </w:tblGrid>
      <w:tr>
        <w:tc>
          <w:tcPr/>
          <w:bookmarkStart w:id="42" w:name="fig-rk"/>
          <w:p>
            <w:pPr>
              <w:pStyle w:val="Compact"/>
              <w:jc w:val="center"/>
            </w:pPr>
            <w:r>
              <w:drawing>
                <wp:inline>
                  <wp:extent cx="5334000" cy="3556000"/>
                  <wp:effectExtent b="0" l="0" r="0" t="0"/>
                  <wp:docPr descr="" title="" id="40" name="Picture"/>
                  <a:graphic>
                    <a:graphicData uri="http://schemas.openxmlformats.org/drawingml/2006/picture">
                      <pic:pic>
                        <pic:nvPicPr>
                          <pic:cNvPr descr="../results/manuscript_figures/fig4_rk.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2"/>
        </w:tc>
      </w:tr>
    </w:tbl>
    <w:bookmarkEnd w:id="43"/>
    <w:bookmarkStart w:id="4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1.5 – 1.9. If viral load is fixed at the median trajectory, but contacts are overdispersed, values of</w:t>
      </w:r>
      <w:r>
        <w:t xml:space="preserve"> </w:t>
      </w:r>
      <m:oMath>
        <m:r>
          <m:t>k</m:t>
        </m:r>
      </m:oMath>
      <w:r>
        <w:t xml:space="preserve"> </w:t>
      </w:r>
      <w:r>
        <w:t xml:space="preserve">are lower (0.11 – 0.74) and approximately equal to that of overdispersed contacts and variable viral load trajectories (0.11 –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w:t>
      </w:r>
      <w:hyperlink w:anchor="fig-vl">
        <w:r>
          <w:rPr>
            <w:rStyle w:val="Hyperlink"/>
          </w:rPr>
          <w:t xml:space="preserve">Figure 3</w:t>
        </w:r>
      </w:hyperlink>
      <w:r>
        <w:t xml:space="preserve">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 0.92) and variable viral loads were closer to those for overdispersed contacts and variable viral loads (0.08 – 0.33), but still higher (Figure S8).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heterogen"/>
          <w:p>
            <w:pPr>
              <w:pStyle w:val="Compact"/>
              <w:jc w:val="center"/>
            </w:pPr>
            <w:r>
              <w:drawing>
                <wp:inline>
                  <wp:extent cx="5334000" cy="5866948"/>
                  <wp:effectExtent b="0" l="0" r="0" t="0"/>
                  <wp:docPr descr="" title="" id="45" name="Picture"/>
                  <a:graphic>
                    <a:graphicData uri="http://schemas.openxmlformats.org/drawingml/2006/picture">
                      <pic:pic>
                        <pic:nvPicPr>
                          <pic:cNvPr descr="../results/manuscript_figures/fig5_heterogen.png" id="46" name="Picture"/>
                          <pic:cNvPicPr>
                            <a:picLocks noChangeArrowheads="1" noChangeAspect="1"/>
                          </pic:cNvPicPr>
                        </pic:nvPicPr>
                        <pic:blipFill>
                          <a:blip r:embed="rId4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S8.</w:t>
            </w:r>
          </w:p>
          <w:bookmarkEnd w:id="47"/>
        </w:tc>
      </w:tr>
    </w:tbl>
    <w:bookmarkEnd w:id="48"/>
    <w:bookmarkStart w:id="5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w:t>
      </w:r>
      <w:hyperlink w:anchor="fig-testing">
        <w:r>
          <w:rPr>
            <w:rStyle w:val="Hyperlink"/>
          </w:rPr>
          <w:t xml:space="preserve">Figure 6</w:t>
        </w:r>
      </w:hyperlink>
      <w:r>
        <w:t xml:space="preserve">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70% (</w:t>
      </w:r>
      <w:hyperlink w:anchor="fig-testing">
        <w:r>
          <w:rPr>
            <w:rStyle w:val="Hyperlink"/>
          </w:rPr>
          <w:t xml:space="preserve">Figure 6</w:t>
        </w:r>
      </w:hyperlink>
      <w:r>
        <w:t xml:space="preserve">A). Pre-event testing acts similarly, with high uptake (&gt; 90%)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60% adherence required during relaxed restrictions with schools open (</w:t>
      </w:r>
      <w:hyperlink w:anchor="fig-testing">
        <w:r>
          <w:rPr>
            <w:rStyle w:val="Hyperlink"/>
          </w:rPr>
          <w:t xml:space="preserve">Figure 6</w:t>
        </w:r>
      </w:hyperlink>
      <w:r>
        <w:t xml:space="preserve">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w:t>
      </w:r>
      <w:hyperlink w:anchor="fig-testing">
        <w:r>
          <w:rPr>
            <w:rStyle w:val="Hyperlink"/>
          </w:rPr>
          <w:t xml:space="preserve">Figure 6</w:t>
        </w:r>
      </w:hyperlink>
      <w:r>
        <w:t xml:space="preserve"> </w:t>
      </w:r>
      <w:r>
        <w:t xml:space="preserve">).</w:t>
      </w:r>
      <w:r>
        <w:t xml:space="preserve"> </w:t>
      </w:r>
      <w:r>
        <w:t xml:space="preserve">From the sensitivity analysis comparing the impact of regular testing with and without overdispersion in contacts (Figure S9),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2" w:name="fig-testing"/>
          <w:p>
            <w:pPr>
              <w:pStyle w:val="Compact"/>
              <w:jc w:val="center"/>
            </w:pPr>
            <w:r>
              <w:drawing>
                <wp:inline>
                  <wp:extent cx="5334000" cy="8255870"/>
                  <wp:effectExtent b="0" l="0" r="0" t="0"/>
                  <wp:docPr descr="" title="" id="50" name="Picture"/>
                  <a:graphic>
                    <a:graphicData uri="http://schemas.openxmlformats.org/drawingml/2006/picture">
                      <pic:pic>
                        <pic:nvPicPr>
                          <pic:cNvPr descr="../results/manuscript_figures/fig6_testing.png" id="51" name="Picture"/>
                          <pic:cNvPicPr>
                            <a:picLocks noChangeArrowheads="1" noChangeAspect="1"/>
                          </pic:cNvPicPr>
                        </pic:nvPicPr>
                        <pic:blipFill>
                          <a:blip r:embed="rId4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2"/>
        </w:tc>
      </w:tr>
    </w:tbl>
    <w:bookmarkEnd w:id="53"/>
    <w:bookmarkEnd w:id="54"/>
    <w:bookmarkStart w:id="5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w:t>
      </w:r>
      <w:hyperlink w:anchor="fig-rk">
        <w:r>
          <w:rPr>
            <w:rStyle w:val="Hyperlink"/>
          </w:rPr>
          <w:t xml:space="preserve">Figure 4</w:t>
        </w:r>
      </w:hyperlink>
      <w:r>
        <w:t xml:space="preserve">).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w:t>
      </w:r>
      <w:hyperlink w:anchor="fig-contacts">
        <w:r>
          <w:rPr>
            <w:rStyle w:val="Hyperlink"/>
          </w:rPr>
          <w:t xml:space="preserve">Figure 2</w:t>
        </w:r>
      </w:hyperlink>
      <w:r>
        <w:t xml:space="preserve">C) can be used to estimate dynamic shifts in the mean and overdispersion of the reproduction number (</w:t>
      </w:r>
      <w:hyperlink w:anchor="fig-rk">
        <w:r>
          <w:rPr>
            <w:rStyle w:val="Hyperlink"/>
          </w:rPr>
          <w:t xml:space="preserve">Figure 4</w:t>
        </w:r>
      </w:hyperlink>
      <w:r>
        <w:t xml:space="preserve">).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w:t>
      </w:r>
      <w:hyperlink w:anchor="fig-heterogen">
        <w:r>
          <w:rPr>
            <w:rStyle w:val="Hyperlink"/>
          </w:rPr>
          <w:t xml:space="preserve">Figure 5</w:t>
        </w:r>
      </w:hyperlink>
      <w:r>
        <w:t xml:space="preserve">).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w:t>
      </w:r>
      <w:hyperlink w:anchor="fig-contacts">
        <w:r>
          <w:rPr>
            <w:rStyle w:val="Hyperlink"/>
          </w:rPr>
          <w:t xml:space="preserve">Figure 2</w:t>
        </w:r>
      </w:hyperlink>
      <w:r>
        <w:t xml:space="preserve">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(Figure S3).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S8);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pathogens that exhibit heterogeneous transmission, including other SARS coronaviruses, Ebola, measles, influenza, RSV, and adenoviruses</w:t>
      </w:r>
      <w:r>
        <w:t xml:space="preserve"> </w:t>
      </w:r>
      <w:r>
        <w:t xml:space="preserve">[3,38,39]</w:t>
      </w:r>
      <w:r>
        <w:t xml:space="preserve">. Moreover, the question of the relative contribution of variation in numbers of contacts and variation in infectiousness to heterogeneity in transmission is a universal one for infectious diseases.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pathogen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5"/>
    <w:bookmarkStart w:id="56" w:name="supporting-information"/>
    <w:p>
      <w:pPr>
        <w:pStyle w:val="Heading2"/>
      </w:pPr>
      <w:r>
        <w:t xml:space="preserve">Supporting Information</w:t>
      </w:r>
    </w:p>
    <w:bookmarkEnd w:id="56"/>
    <w:bookmarkStart w:id="57" w:name="fig-s1"/>
    <w:p>
      <w:pPr>
        <w:pStyle w:val="Heading2"/>
      </w:pPr>
      <w:r>
        <w:t xml:space="preserve">Figure S1</w:t>
      </w:r>
    </w:p>
    <w:p>
      <w:pPr>
        <w:pStyle w:val="FirstParagraph"/>
      </w:pPr>
      <w:r>
        <w:t xml:space="preserve">Distribution of the duration of contact for household and out-of-household contacts from the CoMix contact survey in the UK.</w:t>
      </w:r>
    </w:p>
    <w:bookmarkEnd w:id="57"/>
    <w:bookmarkStart w:id="58" w:name="fig-s2"/>
    <w:p>
      <w:pPr>
        <w:pStyle w:val="Heading2"/>
      </w:pPr>
      <w:r>
        <w:t xml:space="preserve">Figure S2</w:t>
      </w:r>
    </w:p>
    <w:p>
      <w:pPr>
        <w:pStyle w:val="FirstParagraph"/>
      </w:pPr>
      <w:r>
        <w:t xml:space="preserve">Correlation between number of contacts and mean contact duration for CoMix survey participants from March 2020 to May 2021.</w:t>
      </w:r>
    </w:p>
    <w:bookmarkEnd w:id="58"/>
    <w:bookmarkStart w:id="59" w:name="fig-s3"/>
    <w:p>
      <w:pPr>
        <w:pStyle w:val="Heading2"/>
      </w:pPr>
      <w:r>
        <w:t xml:space="preserve">Figure S3</w:t>
      </w:r>
    </w:p>
    <w:p>
      <w:pPr>
        <w:pStyle w:val="FirstParagraph"/>
      </w:pPr>
      <w:r>
        <w:t xml:space="preserve">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59"/>
    <w:bookmarkStart w:id="60" w:name="fig-s4"/>
    <w:p>
      <w:pPr>
        <w:pStyle w:val="Heading2"/>
      </w:pPr>
      <w:r>
        <w:t xml:space="preserve">Figure S4</w:t>
      </w:r>
    </w:p>
    <w:p>
      <w:pPr>
        <w:pStyle w:val="FirstParagraph"/>
      </w:pPr>
      <w:r>
        <w:t xml:space="preserve">Contact distributions for three indicative timepoints before and during the pandemic in the UK with an imputed heavier tail in the Pre-pandemic (BBC Pandemic) contact distribution (cf. Figure 2B).</w:t>
      </w:r>
    </w:p>
    <w:p>
      <w:pPr>
        <w:pStyle w:val="BodyText"/>
      </w:pPr>
      <w:r>
        <w:t xml:space="preserve">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w:t>
      </w:r>
    </w:p>
    <w:bookmarkEnd w:id="60"/>
    <w:bookmarkStart w:id="61" w:name="fig-s5"/>
    <w:p>
      <w:pPr>
        <w:pStyle w:val="Heading2"/>
      </w:pPr>
      <w:r>
        <w:t xml:space="preserve">Figure S5</w:t>
      </w:r>
    </w:p>
    <w:p>
      <w:pPr>
        <w:pStyle w:val="FirstParagraph"/>
      </w:pPr>
      <w:r>
        <w:t xml:space="preserve">Distribution of the number of reported daily contacts for all time periods before (BBC Pandemic contact survey) and during (CoMix contact survey) the pandemic in the UK between March 2020 and May 2021.</w:t>
      </w:r>
    </w:p>
    <w:bookmarkEnd w:id="61"/>
    <w:bookmarkStart w:id="62" w:name="fig-s6"/>
    <w:p>
      <w:pPr>
        <w:pStyle w:val="Heading2"/>
      </w:pPr>
      <w:r>
        <w:t xml:space="preserve">Figure S6</w:t>
      </w:r>
    </w:p>
    <w:p>
      <w:pPr>
        <w:pStyle w:val="FirstParagraph"/>
      </w:pPr>
      <w:r>
        <w:t xml:space="preserve">Contact distributions by age and gender across the nine time periods from the CoMix contact survey from March 2020 to May 2021.</w:t>
      </w:r>
    </w:p>
    <w:bookmarkEnd w:id="62"/>
    <w:bookmarkStart w:id="63" w:name="fig-s7"/>
    <w:p>
      <w:pPr>
        <w:pStyle w:val="Heading2"/>
      </w:pPr>
      <w:r>
        <w:t xml:space="preserve">Figure S7</w:t>
      </w:r>
    </w:p>
    <w:p>
      <w:pPr>
        <w:pStyle w:val="FirstParagraph"/>
      </w:pPr>
      <w:r>
        <w:t xml:space="preserve">Comparison of viral load trajectories and infectivity for the sensitivity analysis with double the standard deviation in viral load trajectory parameters and those used in the main analysis.</w:t>
      </w:r>
    </w:p>
    <w:p>
      <w:pPr>
        <w:pStyle w:val="BodyText"/>
      </w:pPr>
      <w:r>
        <w:t xml:space="preserve">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63"/>
    <w:bookmarkStart w:id="64" w:name="fig-s8"/>
    <w:p>
      <w:pPr>
        <w:pStyle w:val="Heading2"/>
      </w:pPr>
      <w:r>
        <w:t xml:space="preserve">Figure S8</w:t>
      </w:r>
    </w:p>
    <w:p>
      <w:pPr>
        <w:pStyle w:val="FirstParagraph"/>
      </w:pPr>
      <w:r>
        <w:t xml:space="preserve">Sensitivity of estimates of dispersion of the secondary infection distribution in different time periods to the degree of variation in viral load trajectories.</w:t>
      </w:r>
    </w:p>
    <w:p>
      <w:pPr>
        <w:pStyle w:val="BodyText"/>
      </w:pPr>
      <w:r>
        <w:t xml:space="preserve">Left: standard deviation in distributions for viral load trajectory parameters from Kissler et al. Right: standard deviation of viral load parameters doubled.</w:t>
      </w:r>
    </w:p>
    <w:bookmarkEnd w:id="64"/>
    <w:bookmarkStart w:id="65" w:name="fig-s9"/>
    <w:p>
      <w:pPr>
        <w:pStyle w:val="Heading2"/>
      </w:pPr>
      <w:r>
        <w:t xml:space="preserve">Figure S9</w:t>
      </w:r>
    </w:p>
    <w:p>
      <w:pPr>
        <w:pStyle w:val="FirstParagraph"/>
      </w:pPr>
      <w:r>
        <w:t xml:space="preserve">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65"/>
    <w:bookmarkStart w:id="66" w:name="tbl-s1"/>
    <w:p>
      <w:pPr>
        <w:pStyle w:val="Heading2"/>
      </w:pPr>
      <w:r>
        <w:t xml:space="preserve">Table S1</w:t>
      </w:r>
    </w:p>
    <w:p>
      <w:pPr>
        <w:pStyle w:val="FirstParagraph"/>
      </w:pPr>
      <w:r>
        <w:t xml:space="preserve">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bookmarkEnd w:id="66"/>
    <w:bookmarkStart w:id="67" w:name="tbl-s2"/>
    <w:p>
      <w:pPr>
        <w:pStyle w:val="Heading2"/>
      </w:pPr>
      <w:r>
        <w:t xml:space="preserve">Table S2</w:t>
      </w:r>
    </w:p>
    <w:p>
      <w:pPr>
        <w:pStyle w:val="FirstParagraph"/>
      </w:pPr>
      <w:r>
        <w:t xml:space="preserve">Sensitivity analysis of the effect on the mean and dispersion in contact rates comparing a negative binomial distribution to a zero-inflated negative binomial distribution.</w:t>
      </w:r>
    </w:p>
    <w:bookmarkEnd w:id="67"/>
    <w:bookmarkStart w:id="149" w:name="references"/>
    <w:p>
      <w:pPr>
        <w:pStyle w:val="Heading2"/>
      </w:pPr>
      <w:r>
        <w:t xml:space="preserve">References</w:t>
      </w:r>
    </w:p>
    <w:bookmarkStart w:id="148"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https://www.gov.uk/guidance/the-r-number-in-the-uk</w:t>
        </w:r>
      </w:hyperlink>
    </w:p>
    <w:bookmarkEnd w:id="101"/>
    <w:bookmarkStart w:id="103"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22">
        <w:r>
          <w:rPr>
            <w:rStyle w:val="Hyperlink"/>
          </w:rPr>
          <w:t xml:space="preserve">https://assets.publishing.service.gov.uk/media/610c0fbee90e0706cc852394/S1281_CoMix_Report_-_high_numbers_of_contacts_SAGE_91.pdf</w:t>
        </w:r>
      </w:hyperlink>
    </w:p>
    <w:bookmarkEnd w:id="123"/>
    <w:bookmarkStart w:id="125"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24">
        <w:r>
          <w:rPr>
            <w:rStyle w:val="Hyperlink"/>
          </w:rPr>
          <w:t xml:space="preserve">10.1038/s41586-024-07029-4</w:t>
        </w:r>
      </w:hyperlink>
    </w:p>
    <w:bookmarkEnd w:id="125"/>
    <w:bookmarkStart w:id="127"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26">
        <w:r>
          <w:rPr>
            <w:rStyle w:val="Hyperlink"/>
          </w:rPr>
          <w:t xml:space="preserve">10.1038/s41579-022-00822-w</w:t>
        </w:r>
      </w:hyperlink>
    </w:p>
    <w:bookmarkEnd w:id="127"/>
    <w:bookmarkStart w:id="129"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8">
        <w:r>
          <w:rPr>
            <w:rStyle w:val="Hyperlink"/>
          </w:rPr>
          <w:t xml:space="preserve">10.1016/S1473-3099(20)30985-3</w:t>
        </w:r>
      </w:hyperlink>
    </w:p>
    <w:bookmarkEnd w:id="129"/>
    <w:bookmarkStart w:id="131"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30">
        <w:r>
          <w:rPr>
            <w:rStyle w:val="Hyperlink"/>
          </w:rPr>
          <w:t xml:space="preserve">https://www.ons.gov.uk/peoplepopulationandcommunity/healthandsocialcare/healthandwellbeing/bulletins/coronavirusandselfisolationaftertestingpositiveinengland/8to13march2021</w:t>
        </w:r>
      </w:hyperlink>
    </w:p>
    <w:bookmarkEnd w:id="131"/>
    <w:bookmarkStart w:id="133"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32">
        <w:r>
          <w:rPr>
            <w:rStyle w:val="Hyperlink"/>
          </w:rPr>
          <w:t xml:space="preserve">10.1038/s41598-023-40438-z</w:t>
        </w:r>
      </w:hyperlink>
    </w:p>
    <w:bookmarkEnd w:id="133"/>
    <w:bookmarkStart w:id="135"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34">
        <w:r>
          <w:rPr>
            <w:rStyle w:val="Hyperlink"/>
          </w:rPr>
          <w:t xml:space="preserve">10.1371/journal.pcbi.1012960</w:t>
        </w:r>
      </w:hyperlink>
    </w:p>
    <w:bookmarkEnd w:id="135"/>
    <w:bookmarkStart w:id="137"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36">
        <w:r>
          <w:rPr>
            <w:rStyle w:val="Hyperlink"/>
          </w:rPr>
          <w:t xml:space="preserve">10.1111/tbed.14330</w:t>
        </w:r>
      </w:hyperlink>
    </w:p>
    <w:bookmarkEnd w:id="137"/>
    <w:bookmarkStart w:id="139"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8">
        <w:r>
          <w:rPr>
            <w:rStyle w:val="Hyperlink"/>
          </w:rPr>
          <w:t xml:space="preserve">10.1186/s12889-023-15835-2</w:t>
        </w:r>
      </w:hyperlink>
    </w:p>
    <w:bookmarkEnd w:id="139"/>
    <w:bookmarkStart w:id="141"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40">
        <w:r>
          <w:rPr>
            <w:rStyle w:val="Hyperlink"/>
          </w:rPr>
          <w:t xml:space="preserve">10.1016/j.epidem.2022.100613</w:t>
        </w:r>
      </w:hyperlink>
    </w:p>
    <w:bookmarkEnd w:id="141"/>
    <w:bookmarkStart w:id="143"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42">
        <w:r>
          <w:rPr>
            <w:rStyle w:val="Hyperlink"/>
          </w:rPr>
          <w:t xml:space="preserve">10.1038/s41579-021-00535-6</w:t>
        </w:r>
      </w:hyperlink>
    </w:p>
    <w:bookmarkEnd w:id="143"/>
    <w:bookmarkStart w:id="145"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44">
        <w:r>
          <w:rPr>
            <w:rStyle w:val="Hyperlink"/>
          </w:rPr>
          <w:t xml:space="preserve">10.1038/nature04153</w:t>
        </w:r>
      </w:hyperlink>
    </w:p>
    <w:bookmarkEnd w:id="145"/>
    <w:bookmarkStart w:id="147"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46">
        <w:r>
          <w:rPr>
            <w:rStyle w:val="Hyperlink"/>
          </w:rPr>
          <w:t xml:space="preserve">https://www.ons.gov.uk/peoplepopulationandcommunity/populationandmigration/populationestimates/datasets/populationestimatesforukenglandandwalesscotlandandnorthernireland</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2026-07-14T11:40:38Z</dcterms:created>
  <dcterms:modified xsi:type="dcterms:W3CDTF">2026-07-14T11:40:38Z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