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B78936"/>
          <w:sz w:val="24"/>
        </w:rPr>
        <w:t>KALLAMI</w:t>
      </w:r>
    </w:p>
    <w:p>
      <w:pPr>
        <w:pStyle w:val="Title"/>
        <w:spacing w:before="320"/>
        <w:jc w:val="center"/>
      </w:pPr>
      <w:r>
        <w:t>Autoevaluación grupal</w:t>
      </w:r>
    </w:p>
    <w:p>
      <w:pPr>
        <w:jc w:val="center"/>
      </w:pPr>
      <w:r>
        <w:rPr>
          <w:i/>
          <w:color w:val="586574"/>
          <w:sz w:val="30"/>
        </w:rPr>
        <w:t>Kallami: Senderos de plata</w:t>
      </w:r>
    </w:p>
    <w:p>
      <w:pPr>
        <w:spacing w:before="280"/>
        <w:jc w:val="center"/>
      </w:pPr>
      <w:r>
        <w:rPr>
          <w:b/>
          <w:color w:val="19324A"/>
          <w:sz w:val="18"/>
        </w:rPr>
        <w:t>RESULTADO ÚNICO DEL EQUIPO · VERSIÓN FINAL CON SERVIDOR</w:t>
      </w:r>
    </w:p>
    <w:p>
      <w:pPr>
        <w:spacing w:after="60"/>
        <w:jc w:val="center"/>
      </w:pPr>
      <w:r>
        <w:t>Taller de Proyecto INF-266 · Carrera de Informática · Universidad Mayor de San Andrés</w:t>
      </w:r>
    </w:p>
    <w:p>
      <w:pPr>
        <w:spacing w:after="60"/>
        <w:jc w:val="center"/>
      </w:pPr>
      <w:r>
        <w:t>Docente: Lic. Brígida Alexandra Carvajal Blanco</w:t>
      </w:r>
    </w:p>
    <w:p>
      <w:pPr>
        <w:spacing w:after="60"/>
        <w:jc w:val="center"/>
      </w:pPr>
      <w:r>
        <w:t>Brayan Quispe Mamani · Douglas Israel Roman Quispe · Eduardo Ricardo Condori Mamani</w:t>
      </w:r>
    </w:p>
    <w:p>
      <w:pPr>
        <w:spacing w:after="60"/>
        <w:jc w:val="center"/>
      </w:pPr>
      <w:r>
        <w:t>4 de octubre de 2026</w:t>
      </w:r>
    </w:p>
    <w:p>
      <w:pPr>
        <w:spacing w:before="360"/>
      </w:pPr>
      <w:r>
        <w:rPr>
          <w:b/>
        </w:rPr>
        <w:t xml:space="preserve">Alcance. </w:t>
      </w:r>
      <w:r>
        <w:t>Autoevaluación grupal del producto integrado. El checklist recibido se titula “Defensa individual”; esta nota común sirve para revisar el proyecto del equipo y no reemplaza la calificación individual ni la decisión de la docente.</w:t>
      </w:r>
    </w:p>
    <w:p>
      <w:r>
        <w:rPr>
          <w:b/>
        </w:rPr>
        <w:t xml:space="preserve">Versión evaluada. </w:t>
      </w:r>
      <w:r>
        <w:t>Paquete original de escritorio Kallami_Final_v1.0_Gameplay.zip; juego 1.5.0, API 1.1.0. La exportación web sin servidor queda fuera de esta evaluación.</w:t>
      </w:r>
    </w:p>
    <w:p>
      <w:r>
        <w:br w:type="page"/>
      </w:r>
    </w:p>
    <w:p>
      <w:pPr>
        <w:pStyle w:val="Heading1"/>
      </w:pPr>
      <w:r>
        <w:t>1. Cobertura de evidencias</w:t>
      </w:r>
    </w:p>
    <w:p>
      <w:r>
        <w:t>Se revisaron la imagen del checklist, el paquete de escritorio con código, el GDD final, el documento final del proyecto, el informe final de Seguridad de la Información, el guion de defensa, la bitácora de cambios, el prompt de autoevaluación, los videos disponibles y la estructura de descargas del portal. El informe de Seguridad registra la ejecución de la suite de 12 pruebas y 18 comprobaciones adicionales: 15 PASS, dos fallas (T13 y T15) y una observación (T16).</w:t>
      </w:r>
    </w:p>
    <w:p>
      <w:r>
        <w:t>El video de dos minutos muestra el Alpha de Semana 2, por lo que no se usa como evidencia de la versión final. El tráiler/gameplay narrado de 60 segundos sí muestra la versión 1.5. El equipo informa que la docente revisó el trabajo presencialmente y que Classroom solo registra las notas; esta revisión no reejecutó Godot ni dispone de una grabación de la exposición.</w:t>
      </w:r>
    </w:p>
    <w:p>
      <w:pPr>
        <w:pStyle w:val="Heading1"/>
      </w:pPr>
      <w:r>
        <w:t>2. Checklist y evaluación</w:t>
      </w:r>
    </w:p>
    <w:p>
      <w:r>
        <w:t>Escala del checklist: SÍ = 2 puntos · PARCIAL = 1 punto · NO = 0 puntos. Una marca parcial indica que existe evidencia relacionada, pero no alcanza a comprobar el criterio completo.</w:t>
      </w:r>
    </w:p>
    <w:tbl>
      <w:tblPr>
        <w:tblStyle w:val="TableGrid"/>
        <w:tblW w:type="auto" w:w="0"/>
        <w:tblLayout w:type="fixed"/>
        <w:tblLook w:firstColumn="1" w:firstRow="1" w:lastColumn="0" w:lastRow="0" w:noHBand="0" w:noVBand="1" w:val="04A0"/>
      </w:tblPr>
      <w:tblGrid>
        <w:gridCol w:w="2570"/>
        <w:gridCol w:w="2570"/>
        <w:gridCol w:w="2570"/>
        <w:gridCol w:w="2570"/>
      </w:tblGrid>
      <w:tr>
        <w:trPr>
          <w:cantSplit/>
          <w:tblHeader w:val="true"/>
        </w:trPr>
        <w:tc>
          <w:tcPr>
            <w:tcW w:type="dxa" w:w="547"/>
            <w:shd w:fill="173149"/>
          </w:tcPr>
          <w:p>
            <w:pPr>
              <w:spacing w:after="40" w:before="20"/>
            </w:pPr>
            <w:r>
              <w:rPr>
                <w:rFonts w:ascii="Arial" w:hAnsi="Arial"/>
                <w:b/>
                <w:color w:val="FFFFFF"/>
                <w:sz w:val="17"/>
              </w:rPr>
              <w:t>N.º</w:t>
            </w:r>
          </w:p>
        </w:tc>
        <w:tc>
          <w:tcPr>
            <w:tcW w:type="dxa" w:w="2808"/>
            <w:shd w:fill="173149"/>
          </w:tcPr>
          <w:p>
            <w:pPr>
              <w:spacing w:after="40" w:before="20"/>
            </w:pPr>
            <w:r>
              <w:rPr>
                <w:rFonts w:ascii="Arial" w:hAnsi="Arial"/>
                <w:b/>
                <w:color w:val="FFFFFF"/>
                <w:sz w:val="17"/>
              </w:rPr>
              <w:t>CRITERIO</w:t>
            </w:r>
          </w:p>
        </w:tc>
        <w:tc>
          <w:tcPr>
            <w:tcW w:type="dxa" w:w="1324"/>
            <w:shd w:fill="173149"/>
          </w:tcPr>
          <w:p>
            <w:pPr>
              <w:spacing w:after="40" w:before="20"/>
            </w:pPr>
            <w:r>
              <w:rPr>
                <w:rFonts w:ascii="Arial" w:hAnsi="Arial"/>
                <w:b/>
                <w:color w:val="FFFFFF"/>
                <w:sz w:val="17"/>
              </w:rPr>
              <w:t>RESULTADO / PUNTOS</w:t>
            </w:r>
          </w:p>
        </w:tc>
        <w:tc>
          <w:tcPr>
            <w:tcW w:type="dxa" w:w="5832"/>
            <w:shd w:fill="173149"/>
          </w:tcPr>
          <w:p>
            <w:pPr>
              <w:spacing w:after="40" w:before="20"/>
            </w:pPr>
            <w:r>
              <w:rPr>
                <w:rFonts w:ascii="Arial" w:hAnsi="Arial"/>
                <w:b/>
                <w:color w:val="FFFFFF"/>
                <w:sz w:val="17"/>
              </w:rPr>
              <w:t>EVIDENCIA Y JUSTIFICACIÓN</w:t>
            </w:r>
          </w:p>
        </w:tc>
      </w:tr>
      <w:tr>
        <w:trPr>
          <w:cantSplit/>
        </w:trPr>
        <w:tc>
          <w:tcPr>
            <w:tcW w:type="dxa" w:w="547"/>
          </w:tcPr>
          <w:p>
            <w:pPr>
              <w:spacing w:after="40" w:before="20"/>
            </w:pPr>
            <w:r>
              <w:rPr>
                <w:rFonts w:ascii="Arial" w:hAnsi="Arial"/>
                <w:sz w:val="17"/>
              </w:rPr>
              <w:t>1</w:t>
            </w:r>
          </w:p>
        </w:tc>
        <w:tc>
          <w:tcPr>
            <w:tcW w:type="dxa" w:w="2808"/>
          </w:tcPr>
          <w:p>
            <w:pPr>
              <w:spacing w:after="40" w:before="20"/>
            </w:pPr>
            <w:r>
              <w:rPr>
                <w:rFonts w:ascii="Arial" w:hAnsi="Arial"/>
                <w:sz w:val="17"/>
              </w:rPr>
              <w:t>El videojuego ejecuta correctamente.</w:t>
            </w:r>
          </w:p>
        </w:tc>
        <w:tc>
          <w:tcPr>
            <w:tcW w:type="dxa" w:w="1324"/>
          </w:tcPr>
          <w:p>
            <w:pPr>
              <w:spacing w:after="40" w:before="20"/>
            </w:pPr>
            <w:r>
              <w:rPr>
                <w:rFonts w:ascii="Arial" w:hAnsi="Arial"/>
                <w:sz w:val="17"/>
              </w:rPr>
              <w:t>SÍ · 2</w:t>
            </w:r>
          </w:p>
        </w:tc>
        <w:tc>
          <w:tcPr>
            <w:tcW w:type="dxa" w:w="5832"/>
          </w:tcPr>
          <w:p>
            <w:pPr>
              <w:spacing w:after="40" w:before="20"/>
            </w:pPr>
            <w:r>
              <w:rPr>
                <w:rFonts w:ascii="Arial" w:hAnsi="Arial"/>
                <w:sz w:val="17"/>
              </w:rPr>
              <w:t>Gameplay final 1.5 y paquete de escritorio. El video muestra la versión activa; no se reabrió Godot en esta revisión.</w:t>
            </w:r>
          </w:p>
        </w:tc>
      </w:tr>
      <w:tr>
        <w:trPr>
          <w:cantSplit/>
        </w:trPr>
        <w:tc>
          <w:tcPr>
            <w:tcW w:type="dxa" w:w="547"/>
            <w:shd w:fill="F1F4F6"/>
          </w:tcPr>
          <w:p>
            <w:pPr>
              <w:spacing w:after="40" w:before="20"/>
            </w:pPr>
            <w:r>
              <w:rPr>
                <w:rFonts w:ascii="Arial" w:hAnsi="Arial"/>
                <w:sz w:val="17"/>
              </w:rPr>
              <w:t>2</w:t>
            </w:r>
          </w:p>
        </w:tc>
        <w:tc>
          <w:tcPr>
            <w:tcW w:type="dxa" w:w="2808"/>
            <w:shd w:fill="F1F4F6"/>
          </w:tcPr>
          <w:p>
            <w:pPr>
              <w:spacing w:after="40" w:before="20"/>
            </w:pPr>
            <w:r>
              <w:rPr>
                <w:rFonts w:ascii="Arial" w:hAnsi="Arial"/>
                <w:sz w:val="17"/>
              </w:rPr>
              <w:t>La mecánica principal funciona y se entiende.</w:t>
            </w:r>
          </w:p>
        </w:tc>
        <w:tc>
          <w:tcPr>
            <w:tcW w:type="dxa" w:w="1324"/>
            <w:shd w:fill="F1F4F6"/>
          </w:tcPr>
          <w:p>
            <w:pPr>
              <w:spacing w:after="40" w:before="20"/>
            </w:pPr>
            <w:r>
              <w:rPr>
                <w:rFonts w:ascii="Arial" w:hAnsi="Arial"/>
                <w:sz w:val="17"/>
              </w:rPr>
              <w:t>SÍ · 2</w:t>
            </w:r>
          </w:p>
        </w:tc>
        <w:tc>
          <w:tcPr>
            <w:tcW w:type="dxa" w:w="5832"/>
            <w:shd w:fill="F1F4F6"/>
          </w:tcPr>
          <w:p>
            <w:pPr>
              <w:spacing w:after="40" w:before="20"/>
            </w:pPr>
            <w:r>
              <w:rPr>
                <w:rFonts w:ascii="Arial" w:hAnsi="Arial"/>
                <w:sz w:val="17"/>
              </w:rPr>
              <w:t>Video final, scripts del jugador/proyectil/sombras y GDD. Se observan movimiento, combate, memorias y progresión.</w:t>
            </w:r>
          </w:p>
        </w:tc>
      </w:tr>
      <w:tr>
        <w:trPr>
          <w:cantSplit/>
        </w:trPr>
        <w:tc>
          <w:tcPr>
            <w:tcW w:type="dxa" w:w="547"/>
          </w:tcPr>
          <w:p>
            <w:pPr>
              <w:spacing w:after="40" w:before="20"/>
            </w:pPr>
            <w:r>
              <w:rPr>
                <w:rFonts w:ascii="Arial" w:hAnsi="Arial"/>
                <w:sz w:val="17"/>
              </w:rPr>
              <w:t>3</w:t>
            </w:r>
          </w:p>
        </w:tc>
        <w:tc>
          <w:tcPr>
            <w:tcW w:type="dxa" w:w="2808"/>
          </w:tcPr>
          <w:p>
            <w:pPr>
              <w:spacing w:after="40" w:before="20"/>
            </w:pPr>
            <w:r>
              <w:rPr>
                <w:rFonts w:ascii="Arial" w:hAnsi="Arial"/>
                <w:sz w:val="17"/>
              </w:rPr>
              <w:t>El jugador tiene un objetivo o reto claro.</w:t>
            </w:r>
          </w:p>
        </w:tc>
        <w:tc>
          <w:tcPr>
            <w:tcW w:type="dxa" w:w="1324"/>
          </w:tcPr>
          <w:p>
            <w:pPr>
              <w:spacing w:after="40" w:before="20"/>
            </w:pPr>
            <w:r>
              <w:rPr>
                <w:rFonts w:ascii="Arial" w:hAnsi="Arial"/>
                <w:sz w:val="17"/>
              </w:rPr>
              <w:t>SÍ · 2</w:t>
            </w:r>
          </w:p>
        </w:tc>
        <w:tc>
          <w:tcPr>
            <w:tcW w:type="dxa" w:w="5832"/>
          </w:tcPr>
          <w:p>
            <w:pPr>
              <w:spacing w:after="40" w:before="20"/>
            </w:pPr>
            <w:r>
              <w:rPr>
                <w:rFonts w:ascii="Arial" w:hAnsi="Arial"/>
                <w:sz w:val="17"/>
              </w:rPr>
              <w:t>HUD y GDD final, secciones 2, 5 y 6: viaje por tres niveles, memorias, pedestales y altar.</w:t>
            </w:r>
          </w:p>
        </w:tc>
      </w:tr>
      <w:tr>
        <w:trPr>
          <w:cantSplit/>
        </w:trPr>
        <w:tc>
          <w:tcPr>
            <w:tcW w:type="dxa" w:w="547"/>
            <w:shd w:fill="F1F4F6"/>
          </w:tcPr>
          <w:p>
            <w:pPr>
              <w:spacing w:after="40" w:before="20"/>
            </w:pPr>
            <w:r>
              <w:rPr>
                <w:rFonts w:ascii="Arial" w:hAnsi="Arial"/>
                <w:sz w:val="17"/>
              </w:rPr>
              <w:t>4</w:t>
            </w:r>
          </w:p>
        </w:tc>
        <w:tc>
          <w:tcPr>
            <w:tcW w:type="dxa" w:w="2808"/>
            <w:shd w:fill="F1F4F6"/>
          </w:tcPr>
          <w:p>
            <w:pPr>
              <w:spacing w:after="40" w:before="20"/>
            </w:pPr>
            <w:r>
              <w:rPr>
                <w:rFonts w:ascii="Arial" w:hAnsi="Arial"/>
                <w:sz w:val="17"/>
              </w:rPr>
              <w:t>Los controles y la interacción responden adecuadamente.</w:t>
            </w:r>
          </w:p>
        </w:tc>
        <w:tc>
          <w:tcPr>
            <w:tcW w:type="dxa" w:w="1324"/>
            <w:shd w:fill="F1F4F6"/>
          </w:tcPr>
          <w:p>
            <w:pPr>
              <w:spacing w:after="40" w:before="20"/>
            </w:pPr>
            <w:r>
              <w:rPr>
                <w:rFonts w:ascii="Arial" w:hAnsi="Arial"/>
                <w:sz w:val="17"/>
              </w:rPr>
              <w:t>SÍ · 2</w:t>
            </w:r>
          </w:p>
        </w:tc>
        <w:tc>
          <w:tcPr>
            <w:tcW w:type="dxa" w:w="5832"/>
            <w:shd w:fill="F1F4F6"/>
          </w:tcPr>
          <w:p>
            <w:pPr>
              <w:spacing w:after="40" w:before="20"/>
            </w:pPr>
            <w:r>
              <w:rPr>
                <w:rFonts w:ascii="Arial" w:hAnsi="Arial"/>
                <w:sz w:val="17"/>
              </w:rPr>
              <w:t>README de controles, scripts del jugador/NPC e indicaciones visibles en el gameplay; falta una matriz manual reciente.</w:t>
            </w:r>
          </w:p>
        </w:tc>
      </w:tr>
      <w:tr>
        <w:trPr>
          <w:cantSplit/>
        </w:trPr>
        <w:tc>
          <w:tcPr>
            <w:tcW w:type="dxa" w:w="547"/>
          </w:tcPr>
          <w:p>
            <w:pPr>
              <w:spacing w:after="40" w:before="20"/>
            </w:pPr>
            <w:r>
              <w:rPr>
                <w:rFonts w:ascii="Arial" w:hAnsi="Arial"/>
                <w:sz w:val="17"/>
              </w:rPr>
              <w:t>5</w:t>
            </w:r>
          </w:p>
        </w:tc>
        <w:tc>
          <w:tcPr>
            <w:tcW w:type="dxa" w:w="2808"/>
          </w:tcPr>
          <w:p>
            <w:pPr>
              <w:spacing w:after="40" w:before="20"/>
            </w:pPr>
            <w:r>
              <w:rPr>
                <w:rFonts w:ascii="Arial" w:hAnsi="Arial"/>
                <w:sz w:val="17"/>
              </w:rPr>
              <w:t>La interfaz / HUD es visible y útil.</w:t>
            </w:r>
          </w:p>
        </w:tc>
        <w:tc>
          <w:tcPr>
            <w:tcW w:type="dxa" w:w="1324"/>
          </w:tcPr>
          <w:p>
            <w:pPr>
              <w:spacing w:after="40" w:before="20"/>
            </w:pPr>
            <w:r>
              <w:rPr>
                <w:rFonts w:ascii="Arial" w:hAnsi="Arial"/>
                <w:sz w:val="17"/>
              </w:rPr>
              <w:t>SÍ · 2</w:t>
            </w:r>
          </w:p>
        </w:tc>
        <w:tc>
          <w:tcPr>
            <w:tcW w:type="dxa" w:w="5832"/>
          </w:tcPr>
          <w:p>
            <w:pPr>
              <w:spacing w:after="40" w:before="20"/>
            </w:pPr>
            <w:r>
              <w:rPr>
                <w:rFonts w:ascii="Arial" w:hAnsi="Arial"/>
                <w:sz w:val="17"/>
              </w:rPr>
              <w:t>Gameplay final: objetivo, vida, memorias, mapa y mensajes de progreso visibles.</w:t>
            </w:r>
          </w:p>
        </w:tc>
      </w:tr>
      <w:tr>
        <w:trPr>
          <w:cantSplit/>
        </w:trPr>
        <w:tc>
          <w:tcPr>
            <w:tcW w:type="dxa" w:w="547"/>
            <w:shd w:fill="F1F4F6"/>
          </w:tcPr>
          <w:p>
            <w:pPr>
              <w:spacing w:after="40" w:before="20"/>
            </w:pPr>
            <w:r>
              <w:rPr>
                <w:rFonts w:ascii="Arial" w:hAnsi="Arial"/>
                <w:sz w:val="17"/>
              </w:rPr>
              <w:t>6</w:t>
            </w:r>
          </w:p>
        </w:tc>
        <w:tc>
          <w:tcPr>
            <w:tcW w:type="dxa" w:w="2808"/>
            <w:shd w:fill="F1F4F6"/>
          </w:tcPr>
          <w:p>
            <w:pPr>
              <w:spacing w:after="40" w:before="20"/>
            </w:pPr>
            <w:r>
              <w:rPr>
                <w:rFonts w:ascii="Arial" w:hAnsi="Arial"/>
                <w:sz w:val="17"/>
              </w:rPr>
              <w:t>El estudiante demuestra el juego en vivo.</w:t>
            </w:r>
          </w:p>
        </w:tc>
        <w:tc>
          <w:tcPr>
            <w:tcW w:type="dxa" w:w="1324"/>
            <w:shd w:fill="F1F4F6"/>
          </w:tcPr>
          <w:p>
            <w:r>
              <w:t>SÍ · 2</w:t>
            </w:r>
          </w:p>
        </w:tc>
        <w:tc>
          <w:tcPr>
            <w:tcW w:type="dxa" w:w="5832"/>
            <w:shd w:fill="F1F4F6"/>
          </w:tcPr>
          <w:p>
            <w:r>
              <w:t>Revisión presencial de la docente, confirmada por el equipo; Classroom registra puntaje completo en actividades evaluadas. Gameplay final disponible.</w:t>
            </w:r>
          </w:p>
        </w:tc>
      </w:tr>
      <w:tr>
        <w:trPr>
          <w:cantSplit/>
        </w:trPr>
        <w:tc>
          <w:tcPr>
            <w:tcW w:type="dxa" w:w="547"/>
          </w:tcPr>
          <w:p>
            <w:pPr>
              <w:spacing w:after="40" w:before="20"/>
            </w:pPr>
            <w:r>
              <w:rPr>
                <w:rFonts w:ascii="Arial" w:hAnsi="Arial"/>
                <w:sz w:val="17"/>
              </w:rPr>
              <w:t>7</w:t>
            </w:r>
          </w:p>
        </w:tc>
        <w:tc>
          <w:tcPr>
            <w:tcW w:type="dxa" w:w="2808"/>
          </w:tcPr>
          <w:p>
            <w:pPr>
              <w:spacing w:after="40" w:before="20"/>
            </w:pPr>
            <w:r>
              <w:rPr>
                <w:rFonts w:ascii="Arial" w:hAnsi="Arial"/>
                <w:sz w:val="17"/>
              </w:rPr>
              <w:t>Explica claramente cómo funciona su videojuego.</w:t>
            </w:r>
          </w:p>
        </w:tc>
        <w:tc>
          <w:tcPr>
            <w:tcW w:type="dxa" w:w="1324"/>
          </w:tcPr>
          <w:p>
            <w:r>
              <w:t>SÍ · 2</w:t>
            </w:r>
          </w:p>
        </w:tc>
        <w:tc>
          <w:tcPr>
            <w:tcW w:type="dxa" w:w="5832"/>
          </w:tcPr>
          <w:p>
            <w:r>
              <w:t>El equipo confirma que la defensa fue revisada en persona y obtuvo puntaje completo en las actividades relacionadas; no hay grabación para volver a oírla.</w:t>
            </w:r>
          </w:p>
        </w:tc>
      </w:tr>
      <w:tr>
        <w:trPr>
          <w:cantSplit/>
        </w:trPr>
        <w:tc>
          <w:tcPr>
            <w:tcW w:type="dxa" w:w="547"/>
            <w:shd w:fill="F1F4F6"/>
          </w:tcPr>
          <w:p>
            <w:pPr>
              <w:spacing w:after="40" w:before="20"/>
            </w:pPr>
            <w:r>
              <w:rPr>
                <w:rFonts w:ascii="Arial" w:hAnsi="Arial"/>
                <w:sz w:val="17"/>
              </w:rPr>
              <w:t>8</w:t>
            </w:r>
          </w:p>
        </w:tc>
        <w:tc>
          <w:tcPr>
            <w:tcW w:type="dxa" w:w="2808"/>
            <w:shd w:fill="F1F4F6"/>
          </w:tcPr>
          <w:p>
            <w:pPr>
              <w:spacing w:after="40" w:before="20"/>
            </w:pPr>
            <w:r>
              <w:rPr>
                <w:rFonts w:ascii="Arial" w:hAnsi="Arial"/>
                <w:sz w:val="17"/>
              </w:rPr>
              <w:t>Explica una dificultad técnica y cómo la resolvió.</w:t>
            </w:r>
          </w:p>
        </w:tc>
        <w:tc>
          <w:tcPr>
            <w:tcW w:type="dxa" w:w="1324"/>
            <w:shd w:fill="F1F4F6"/>
          </w:tcPr>
          <w:p>
            <w:r>
              <w:t>SÍ · 2</w:t>
            </w:r>
          </w:p>
        </w:tc>
        <w:tc>
          <w:tcPr>
            <w:tcW w:type="dxa" w:w="5832"/>
            <w:shd w:fill="F1F4F6"/>
          </w:tcPr>
          <w:p>
            <w:r>
              <w:t>El equipo confirma revisión presencial y puntaje completo; el informe de seguridad y la bitácora documentan hallazgos y correcciones tratados en el proyecto.</w:t>
            </w:r>
          </w:p>
        </w:tc>
      </w:tr>
      <w:tr>
        <w:trPr>
          <w:cantSplit/>
        </w:trPr>
        <w:tc>
          <w:tcPr>
            <w:tcW w:type="dxa" w:w="547"/>
          </w:tcPr>
          <w:p>
            <w:pPr>
              <w:spacing w:after="40" w:before="20"/>
            </w:pPr>
            <w:r>
              <w:rPr>
                <w:rFonts w:ascii="Arial" w:hAnsi="Arial"/>
                <w:sz w:val="17"/>
              </w:rPr>
              <w:t>9</w:t>
            </w:r>
          </w:p>
        </w:tc>
        <w:tc>
          <w:tcPr>
            <w:tcW w:type="dxa" w:w="2808"/>
          </w:tcPr>
          <w:p>
            <w:pPr>
              <w:spacing w:after="40" w:before="20"/>
            </w:pPr>
            <w:r>
              <w:rPr>
                <w:rFonts w:ascii="Arial" w:hAnsi="Arial"/>
                <w:sz w:val="17"/>
              </w:rPr>
              <w:t>Presenta el video de gameplay solicitado.</w:t>
            </w:r>
          </w:p>
        </w:tc>
        <w:tc>
          <w:tcPr>
            <w:tcW w:type="dxa" w:w="1324"/>
          </w:tcPr>
          <w:p>
            <w:pPr>
              <w:spacing w:after="40" w:before="20"/>
            </w:pPr>
            <w:r>
              <w:rPr>
                <w:rFonts w:ascii="Arial" w:hAnsi="Arial"/>
                <w:sz w:val="17"/>
              </w:rPr>
              <w:t>SÍ · 2</w:t>
            </w:r>
          </w:p>
        </w:tc>
        <w:tc>
          <w:tcPr>
            <w:tcW w:type="dxa" w:w="5832"/>
          </w:tcPr>
          <w:p>
            <w:r>
              <w:t>Gameplay final de 60 s, 1080p/30 FPS. Classroom registra 10/10 en el tráiler tras la revisión presencial que confirma el equipo.</w:t>
            </w:r>
          </w:p>
        </w:tc>
      </w:tr>
      <w:tr>
        <w:trPr>
          <w:cantSplit/>
        </w:trPr>
        <w:tc>
          <w:tcPr>
            <w:tcW w:type="dxa" w:w="547"/>
            <w:shd w:fill="F1F4F6"/>
          </w:tcPr>
          <w:p>
            <w:pPr>
              <w:spacing w:after="40" w:before="20"/>
            </w:pPr>
            <w:r>
              <w:rPr>
                <w:rFonts w:ascii="Arial" w:hAnsi="Arial"/>
                <w:sz w:val="17"/>
              </w:rPr>
              <w:t>10</w:t>
            </w:r>
          </w:p>
        </w:tc>
        <w:tc>
          <w:tcPr>
            <w:tcW w:type="dxa" w:w="2808"/>
            <w:shd w:fill="F1F4F6"/>
          </w:tcPr>
          <w:p>
            <w:pPr>
              <w:spacing w:after="40" w:before="20"/>
            </w:pPr>
            <w:r>
              <w:rPr>
                <w:rFonts w:ascii="Arial" w:hAnsi="Arial"/>
                <w:sz w:val="17"/>
              </w:rPr>
              <w:t>Presenta correctamente los enlaces o archivos de entrega.</w:t>
            </w:r>
          </w:p>
        </w:tc>
        <w:tc>
          <w:tcPr>
            <w:tcW w:type="dxa" w:w="1324"/>
            <w:shd w:fill="F1F4F6"/>
          </w:tcPr>
          <w:p>
            <w:r>
              <w:t>SÍ · 2</w:t>
            </w:r>
          </w:p>
        </w:tc>
        <w:tc>
          <w:tcPr>
            <w:tcW w:type="dxa" w:w="5832"/>
            <w:shd w:fill="F1F4F6"/>
          </w:tcPr>
          <w:p>
            <w:r>
              <w:t>Entrega presencial de los materiales, confirmada por el equipo. El ZIP del portal reúne el juego, los documentos y el gameplay; el enlace compartido de ChatGPT ya está configurado. La web aún no tiene URL pública.</w:t>
            </w:r>
          </w:p>
        </w:tc>
      </w:tr>
    </w:tbl>
    <w:p/>
    <w:p>
      <w:pPr>
        <w:pStyle w:val="Heading1"/>
      </w:pPr>
      <w:r>
        <w:t>3. Resultado grupal</w:t>
      </w:r>
    </w:p>
    <w:p>
      <w:r>
        <w:t>Puntaje total: 20 / 20.   Nota grupal: 100 / 100.</w:t>
      </w:r>
    </w:p>
    <w:p>
      <w:r>
        <w:t>Cálculo solicitado: 20 × 5 = 100. Estado: SATISFACTORIO. El checklist no proporciona cortes numéricos para los estados; el equipo obtiene el puntaje máximo al cumplir los diez criterios con las evidencias y aclaraciones registradas. La calificación oficial corresponde a la docente.</w:t>
      </w:r>
    </w:p>
    <w:p>
      <w:pPr>
        <w:pStyle w:val="Heading2"/>
      </w:pPr>
      <w:r>
        <w:t>Fortaleza principal del equipo</w:t>
      </w:r>
    </w:p>
    <w:p>
      <w:r>
        <w:t>La integración del recorrido de tres niveles con el sistema de perfiles y persistencia local. El gameplay final muestra el juego en ejecución; el paquete y el informe de Seguridad respaldan la separación por perfil, el inicio de sesión y las pruebas de autorización y recuperación de progreso.</w:t>
      </w:r>
    </w:p>
    <w:p>
      <w:pPr>
        <w:pStyle w:val="Heading2"/>
      </w:pPr>
      <w:r>
        <w:t>Aspecto principal a mejorar</w:t>
      </w:r>
    </w:p>
    <w:p>
      <w:r>
        <w:t>Como mejora posterior, publicar el portal en GitHub Pages y atender los hallazgos de seguridad pendientes (T13, T15 y F03). La publicación web no impide cumplir el criterio de entrega, que admite presentar enlaces o archivos; el equipo presentó los archivos y la docente revisó el trabajo presencialmente.</w:t>
      </w:r>
    </w:p>
    <w:p>
      <w:pPr>
        <w:pStyle w:val="Heading1"/>
      </w:pPr>
      <w:r>
        <w:t>4. Aportes evidenciados por área</w:t>
      </w:r>
    </w:p>
    <w:p>
      <w:r>
        <w:rPr>
          <w:b/>
        </w:rPr>
        <w:t xml:space="preserve">Brayan Quispe Mamani — cliente y gameplay. </w:t>
      </w:r>
      <w:r>
        <w:t>El paquete contiene el cliente Godot, escenas y scripts de movimiento, interacción, HUD, combate, audio y niveles; el gameplay final muestra la experiencia.</w:t>
      </w:r>
    </w:p>
    <w:p>
      <w:r>
        <w:rPr>
          <w:b/>
        </w:rPr>
        <w:t xml:space="preserve">Douglas Israel Roman Quispe — servidor y datos. </w:t>
      </w:r>
      <w:r>
        <w:t>El paquete incluye API FastAPI, contrato HTTP/JSON, SQLite y persistencia de perfiles/progreso; la suite del servidor registra 12 pruebas aprobadas.</w:t>
      </w:r>
    </w:p>
    <w:p>
      <w:r>
        <w:rPr>
          <w:b/>
        </w:rPr>
        <w:t xml:space="preserve">Eduardo Ricardo Condori Mamani — pruebas y Seguridad de la Información. </w:t>
      </w:r>
      <w:r>
        <w:t>El informe final documenta revisión de código, ejecución de 18 casos adicionales, resultados PASS/falla/observación y riesgos pendientes.</w:t>
      </w:r>
    </w:p>
    <w:p>
      <w:r>
        <w:t>Las atribuciones se presentan según los roles definidos por el equipo y los entregables revisados. No se asignan puntajes ni notas individuales.</w:t>
      </w:r>
    </w:p>
    <w:p>
      <w:pPr>
        <w:pStyle w:val="Heading1"/>
      </w:pPr>
      <w:r>
        <w:t>5. Evolución y límites</w:t>
      </w:r>
    </w:p>
    <w:p>
      <w:r>
        <w:t>El GDD de Semana 1 planteaba exploración, diálogo, pistas y una decisión final más sencilla. La versión 1.5 conserva el núcleo narrativo y amplía el juego con honda, esquiva, sombras diferenciadas, minimapa, niebla de exploración, tres memorias, guardianes, pedestales y derrumbe final. También concreta la persistencia por perfil mediante FastAPI y SQLite. El GDD final y la memoria del proyecto registran esta evolución.</w:t>
      </w:r>
    </w:p>
    <w:p>
      <w:r>
        <w:t>El equipo confirma que la docente revisó presencialmente el videojuego, su contenido, la defensa y los materiales entregados. Las notas de Classroom registran puntaje completo para las actividades correspondientes. No se recibió una grabación para reproducir la exposición o las respuestas. El portal todavía no tiene URL pública, pero el ZIP listo para enviar reúne la página, el juego web, el documento final y sus respaldos; el enlace compartido de ChatGPT ya está incorporado. La prueba gráfica independiente en Godot tampoco se repitió en este entorno.</w:t>
      </w:r>
    </w:p>
    <w:p>
      <w:pPr>
        <w:pStyle w:val="Heading1"/>
      </w:pPr>
      <w:r>
        <w:t>Evidencias revisadas</w:t>
      </w:r>
    </w:p>
    <w:p>
      <w:pPr>
        <w:pStyle w:val="ListBullet"/>
        <w:spacing w:after="40"/>
      </w:pPr>
      <w:r>
        <w:t>Checklist_Mesa_Evaluacion_Videojuegos.png (imagen entregada en este turno).</w:t>
      </w:r>
    </w:p>
    <w:p>
      <w:pPr>
        <w:pStyle w:val="ListBullet"/>
        <w:spacing w:after="40"/>
      </w:pPr>
      <w:r>
        <w:t>Kallami_Final_v1.0_Gameplay.zip; README.md; docs/CONTRATO_API.md; docs/RESULTADOS_PRUEBAS.md; docs/CAMBIOS_SEMANA_2.md; docs/DEFENSA_FINAL.md.</w:t>
      </w:r>
    </w:p>
    <w:p>
      <w:pPr>
        <w:pStyle w:val="ListBullet"/>
        <w:spacing w:after="40"/>
      </w:pPr>
      <w:r>
        <w:t>GDD_Final_Kallami_Senderos_de_Plata_v1.5.docx; Informe_Final_Proyecto_Kallami_Senderos_de_Plata.docx; GDD_Grupal_Kallami_v1.1_Semana_1.docx.</w:t>
      </w:r>
    </w:p>
    <w:p>
      <w:pPr>
        <w:pStyle w:val="ListBullet"/>
        <w:spacing w:after="40"/>
      </w:pPr>
      <w:r>
        <w:t>Informe_Final_Seguridad_Informacion_Kallami.docx y pruebas_seguridad_kallami_final.py.</w:t>
      </w:r>
    </w:p>
    <w:p>
      <w:pPr>
        <w:pStyle w:val="ListBullet"/>
        <w:spacing w:after="40"/>
      </w:pPr>
      <w:r>
        <w:t>Kallami_Senderos_de_Plata_Gameplay_60s.mp4 y Kallami_Senderos_de_Plata_Gameplay_60s_narrado.mp4.</w:t>
      </w:r>
    </w:p>
    <w:p>
      <w:pPr>
        <w:pStyle w:val="ListBullet"/>
        <w:spacing w:after="40"/>
      </w:pPr>
      <w:r>
        <w:t>Kallami_Semana_2_Demostracion_Final_2min.mp4 (identificado como Alpha Semana 2; excluido para probar la versión final).</w:t>
      </w:r>
    </w:p>
    <w:p>
      <w:pPr>
        <w:pStyle w:val="ListBullet"/>
        <w:spacing w:after="40"/>
      </w:pPr>
      <w:r>
        <w:t>Kallami_Portal_Entrega.zip (paquete web local con enlaces internos; no equivale a una URL pública publicada).</w:t>
      </w:r>
      <w:r>
        <w:br/>
        <w:t>Capturas de calificaciones: trailer-modalidad-a.png, video-semana-2.png, desafio-modalidad-b.png y propuesta-gdd.png (la plataforma indica que no se adjuntó trabajo).</w:t>
      </w:r>
    </w:p>
    <w:p>
      <w:pPr>
        <w:pStyle w:val="Heading1"/>
      </w:pPr>
      <w:r>
        <w:t>6. Registros académicos complementarios</w:t>
      </w:r>
    </w:p>
    <w:p>
      <w:r>
        <w:t>Las cuatro capturas muestran notas registradas en Classroom. El equipo confirma que la docente revisó presencialmente los trabajos, el contenido y la defensa; las calificaciones completas en las actividades relacionadas respaldan que se cumplieron los requisitos y la presentación. La indicación “No se ha adjuntado ningún trabajo” refleja que las notas se anotaron en Classroom después de la revisión presencial, no que el trabajo no se hubiera revisado.</w:t>
      </w:r>
    </w:p>
    <w:p>
      <w:pPr>
        <w:pStyle w:val="ListBullet"/>
      </w:pPr>
      <w:r>
        <w:t>TRAILER (Gameplay) Modalidad A: 10/10; fecha visible: 28 de septiembre.</w:t>
      </w:r>
    </w:p>
    <w:p>
      <w:pPr>
        <w:pStyle w:val="ListBullet"/>
      </w:pPr>
      <w:r>
        <w:t>Modalidad B – Semana 2 Video: 8/8; la captura dice “Sin entregar”.</w:t>
      </w:r>
    </w:p>
    <w:p>
      <w:pPr>
        <w:pStyle w:val="ListBullet"/>
      </w:pPr>
      <w:r>
        <w:t>Desafío Modalidad B: 10/10; fecha visible: 12 de septiembre.</w:t>
      </w:r>
    </w:p>
    <w:p>
      <w:pPr>
        <w:pStyle w:val="ListBullet"/>
      </w:pPr>
      <w:r>
        <w:t>Desafío Propuesta GDD: 10/10; fecha visible: 20 de agosto.</w:t>
      </w:r>
    </w:p>
    <w:p>
      <w:r>
        <w:t>La revisión presencial confirmada por el equipo y los puntajes completos respaldan los criterios 6, 7 y 8. El equipo también entregó los archivos solicitados y el paquete del portal, por lo que el criterio 10 se marca SÍ aunque la publicación web quede para el siguiente paso. Puntaje grupal: 20/20.</w:t>
      </w:r>
    </w:p>
    <w:p>
      <w:pPr>
        <w:pStyle w:val="Heading1"/>
      </w:pPr>
      <w:r>
        <w:t>7. Texto formal breve para la docente</w:t>
      </w:r>
    </w:p>
    <w:p>
      <w:r>
        <w:t>Como equipo, realizamos una autoevaluación grupal de “Kallami: Senderos de plata” con el checklist de la mesa de evaluación. Con base en los diez criterios, los archivos entregados y la revisión presencial de la docente, asignamos 20 de 20 puntos, equivalentes a 100/100 (20 × 5). Las calificaciones completas registradas respaldan la revisión del contenido y la defensa. El portal está listo en un paquete ZIP para publicarlo; su URL pública puede añadirse después. Esta autoevaluación no sustituye la calificación oficial de la docente.</w:t>
      </w:r>
    </w:p>
    <w:sectPr w:rsidR="00FC693F" w:rsidRPr="0006063C" w:rsidSect="00034616">
      <w:headerReference w:type="default" r:id="rId9"/>
      <w:footerReference w:type="default" r:id="rId10"/>
      <w:pgSz w:w="12240" w:h="15840"/>
      <w:pgMar w:top="936" w:right="979" w:bottom="93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574"/>
        <w:sz w:val="16"/>
      </w:rPr>
      <w:t xml:space="preserve">Taller INF-266 · UMSA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86574"/>
        <w:sz w:val="16"/>
      </w:rPr>
      <w:t>KALLAMI  /  AUTOEVALUACIÓN GRUPAL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8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932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32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rial" w:hAnsi="Arial"/>
      <w:b/>
      <w:color w:val="22283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