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B78936"/>
          <w:sz w:val="26"/>
        </w:rPr>
        <w:t>KALLAMI</w:t>
      </w:r>
    </w:p>
    <w:p>
      <w:pPr>
        <w:pStyle w:val="Title"/>
        <w:spacing w:before="480" w:after="180"/>
        <w:jc w:val="center"/>
      </w:pPr>
      <w:r>
        <w:t>Documento final del proyecto</w:t>
      </w:r>
    </w:p>
    <w:p>
      <w:pPr>
        <w:pStyle w:val="Subtitle"/>
        <w:spacing w:after="600"/>
        <w:jc w:val="center"/>
      </w:pPr>
      <w:r>
        <w:t>Kallami: Senderos de plata</w:t>
      </w:r>
    </w:p>
    <w:p>
      <w:pPr>
        <w:spacing w:after="760"/>
        <w:jc w:val="center"/>
      </w:pPr>
      <w:r>
        <w:rPr>
          <w:rFonts w:ascii="Arial" w:hAnsi="Arial"/>
          <w:b/>
          <w:color w:val="19324A"/>
          <w:sz w:val="20"/>
        </w:rPr>
        <w:t>MEMORIA FINAL · VERSIÓN CON SERVIDOR</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shd w:fill="19324A"/>
          </w:tcPr>
          <w:p>
            <w:pPr>
              <w:spacing w:after="0" w:before="0"/>
            </w:pPr>
            <w:r/>
            <w:r>
              <w:rPr>
                <w:rFonts w:ascii="Arial" w:hAnsi="Arial"/>
                <w:b/>
                <w:color w:val="FFFFFF"/>
                <w:sz w:val="18"/>
              </w:rPr>
              <w:t>Dato</w:t>
            </w:r>
          </w:p>
        </w:tc>
        <w:tc>
          <w:tcPr>
            <w:tcW w:type="dxa" w:w="7056"/>
            <w:vAlign w:val="center"/>
            <w:shd w:fill="19324A"/>
          </w:tcPr>
          <w:p>
            <w:pPr>
              <w:spacing w:after="0" w:before="0"/>
            </w:pPr>
            <w:r/>
            <w:r>
              <w:rPr>
                <w:rFonts w:ascii="Arial" w:hAnsi="Arial"/>
                <w:b/>
                <w:color w:val="FFFFFF"/>
                <w:sz w:val="18"/>
              </w:rPr>
              <w:t>Detalle</w:t>
            </w:r>
          </w:p>
        </w:tc>
      </w:tr>
      <w:tr>
        <w:trPr>
          <w:cantSplit/>
        </w:trPr>
        <w:tc>
          <w:tcPr>
            <w:tcW w:type="dxa" w:w="2232"/>
            <w:vAlign w:val="center"/>
          </w:tcPr>
          <w:p>
            <w:pPr>
              <w:spacing w:after="0" w:before="0"/>
            </w:pPr>
            <w:r/>
            <w:r>
              <w:rPr>
                <w:rFonts w:ascii="Arial" w:hAnsi="Arial"/>
                <w:b w:val="0"/>
                <w:color w:val="222831"/>
                <w:sz w:val="18"/>
              </w:rPr>
              <w:t>Asignatura</w:t>
            </w:r>
          </w:p>
        </w:tc>
        <w:tc>
          <w:tcPr>
            <w:tcW w:type="dxa" w:w="7056"/>
            <w:vAlign w:val="center"/>
          </w:tcPr>
          <w:p>
            <w:pPr>
              <w:spacing w:after="0" w:before="0"/>
            </w:pPr>
            <w:r/>
            <w:r>
              <w:rPr>
                <w:rFonts w:ascii="Arial" w:hAnsi="Arial"/>
                <w:b w:val="0"/>
                <w:color w:val="222831"/>
                <w:sz w:val="18"/>
              </w:rPr>
              <w:t>Taller de Proyecto INF-266</w:t>
            </w:r>
          </w:p>
        </w:tc>
      </w:tr>
      <w:tr>
        <w:trPr>
          <w:cantSplit/>
        </w:trPr>
        <w:tc>
          <w:tcPr>
            <w:tcW w:type="dxa" w:w="2232"/>
            <w:vAlign w:val="center"/>
            <w:shd w:fill="F3F6F8"/>
          </w:tcPr>
          <w:p>
            <w:pPr>
              <w:spacing w:after="0" w:before="0"/>
            </w:pPr>
            <w:r/>
            <w:r>
              <w:rPr>
                <w:rFonts w:ascii="Arial" w:hAnsi="Arial"/>
                <w:b w:val="0"/>
                <w:color w:val="222831"/>
                <w:sz w:val="18"/>
              </w:rPr>
              <w:t>Carrera</w:t>
            </w:r>
          </w:p>
        </w:tc>
        <w:tc>
          <w:tcPr>
            <w:tcW w:type="dxa" w:w="7056"/>
            <w:vAlign w:val="center"/>
            <w:shd w:fill="F3F6F8"/>
          </w:tcPr>
          <w:p>
            <w:pPr>
              <w:spacing w:after="0" w:before="0"/>
            </w:pPr>
            <w:r/>
            <w:r>
              <w:rPr>
                <w:rFonts w:ascii="Arial" w:hAnsi="Arial"/>
                <w:b w:val="0"/>
                <w:color w:val="222831"/>
                <w:sz w:val="18"/>
              </w:rPr>
              <w:t>Informática · Universidad Mayor de San Andrés</w:t>
            </w:r>
          </w:p>
        </w:tc>
      </w:tr>
      <w:tr>
        <w:trPr>
          <w:cantSplit/>
        </w:trPr>
        <w:tc>
          <w:tcPr>
            <w:tcW w:type="dxa" w:w="2232"/>
            <w:vAlign w:val="center"/>
          </w:tcPr>
          <w:p>
            <w:pPr>
              <w:spacing w:after="0" w:before="0"/>
            </w:pPr>
            <w:r/>
            <w:r>
              <w:rPr>
                <w:rFonts w:ascii="Arial" w:hAnsi="Arial"/>
                <w:b w:val="0"/>
                <w:color w:val="222831"/>
                <w:sz w:val="18"/>
              </w:rPr>
              <w:t>Docente</w:t>
            </w:r>
          </w:p>
        </w:tc>
        <w:tc>
          <w:tcPr>
            <w:tcW w:type="dxa" w:w="7056"/>
            <w:vAlign w:val="center"/>
          </w:tcPr>
          <w:p>
            <w:pPr>
              <w:spacing w:after="0" w:before="0"/>
            </w:pPr>
            <w:r/>
            <w:r>
              <w:rPr>
                <w:rFonts w:ascii="Arial" w:hAnsi="Arial"/>
                <w:b w:val="0"/>
                <w:color w:val="222831"/>
                <w:sz w:val="18"/>
              </w:rPr>
              <w:t>Lic. Brígida Alexandra Carvajal Blanco</w:t>
            </w:r>
          </w:p>
        </w:tc>
      </w:tr>
      <w:tr>
        <w:trPr>
          <w:cantSplit/>
        </w:trPr>
        <w:tc>
          <w:tcPr>
            <w:tcW w:type="dxa" w:w="2232"/>
            <w:vAlign w:val="center"/>
            <w:shd w:fill="F3F6F8"/>
          </w:tcPr>
          <w:p>
            <w:pPr>
              <w:spacing w:after="0" w:before="0"/>
            </w:pPr>
            <w:r/>
            <w:r>
              <w:rPr>
                <w:rFonts w:ascii="Arial" w:hAnsi="Arial"/>
                <w:b w:val="0"/>
                <w:color w:val="222831"/>
                <w:sz w:val="18"/>
              </w:rPr>
              <w:t>Equipo</w:t>
            </w:r>
          </w:p>
        </w:tc>
        <w:tc>
          <w:tcPr>
            <w:tcW w:type="dxa" w:w="7056"/>
            <w:vAlign w:val="center"/>
            <w:shd w:fill="F3F6F8"/>
          </w:tcPr>
          <w:p>
            <w:pPr>
              <w:spacing w:after="0" w:before="0"/>
            </w:pPr>
            <w:r/>
            <w:r>
              <w:rPr>
                <w:rFonts w:ascii="Arial" w:hAnsi="Arial"/>
                <w:b w:val="0"/>
                <w:color w:val="222831"/>
                <w:sz w:val="18"/>
              </w:rPr>
              <w:t>Brayan Quispe Mamani · Douglas Israel Roman Quispe · Eduardo Ricardo Condori Mamani</w:t>
            </w:r>
          </w:p>
        </w:tc>
      </w:tr>
      <w:tr>
        <w:trPr>
          <w:cantSplit/>
        </w:trPr>
        <w:tc>
          <w:tcPr>
            <w:tcW w:type="dxa" w:w="2232"/>
            <w:vAlign w:val="center"/>
          </w:tcPr>
          <w:p>
            <w:pPr>
              <w:spacing w:after="0" w:before="0"/>
            </w:pPr>
            <w:r/>
            <w:r>
              <w:rPr>
                <w:rFonts w:ascii="Arial" w:hAnsi="Arial"/>
                <w:b w:val="0"/>
                <w:color w:val="222831"/>
                <w:sz w:val="18"/>
              </w:rPr>
              <w:t>Versión de referencia</w:t>
            </w:r>
          </w:p>
        </w:tc>
        <w:tc>
          <w:tcPr>
            <w:tcW w:type="dxa" w:w="7056"/>
            <w:vAlign w:val="center"/>
          </w:tcPr>
          <w:p>
            <w:pPr>
              <w:spacing w:after="0" w:before="0"/>
            </w:pPr>
            <w:r/>
            <w:r>
              <w:rPr>
                <w:rFonts w:ascii="Arial" w:hAnsi="Arial"/>
                <w:b w:val="0"/>
                <w:color w:val="222831"/>
                <w:sz w:val="18"/>
              </w:rPr>
              <w:t>Videojuego original de escritorio con servidor · versión 1.5</w:t>
            </w:r>
          </w:p>
        </w:tc>
      </w:tr>
      <w:tr>
        <w:trPr>
          <w:cantSplit/>
        </w:trPr>
        <w:tc>
          <w:tcPr>
            <w:tcW w:type="dxa" w:w="2232"/>
            <w:vAlign w:val="center"/>
            <w:shd w:fill="F3F6F8"/>
          </w:tcPr>
          <w:p>
            <w:pPr>
              <w:spacing w:after="0" w:before="0"/>
            </w:pPr>
            <w:r/>
            <w:r>
              <w:rPr>
                <w:rFonts w:ascii="Arial" w:hAnsi="Arial"/>
                <w:b w:val="0"/>
                <w:color w:val="222831"/>
                <w:sz w:val="18"/>
              </w:rPr>
              <w:t>Fecha del documento</w:t>
            </w:r>
          </w:p>
        </w:tc>
        <w:tc>
          <w:tcPr>
            <w:tcW w:type="dxa" w:w="7056"/>
            <w:vAlign w:val="center"/>
            <w:shd w:fill="F3F6F8"/>
          </w:tcPr>
          <w:p>
            <w:pPr>
              <w:spacing w:after="0" w:before="0"/>
            </w:pPr>
            <w:r/>
            <w:r>
              <w:rPr>
                <w:rFonts w:ascii="Arial" w:hAnsi="Arial"/>
                <w:b w:val="0"/>
                <w:color w:val="222831"/>
                <w:sz w:val="18"/>
              </w:rPr>
              <w:t>4 de octubre de 2026</w:t>
            </w:r>
          </w:p>
        </w:tc>
      </w:tr>
    </w:tbl>
    <w:p>
      <w:pPr>
        <w:spacing w:after="20"/>
      </w:pPr>
    </w:p>
    <w:p>
      <w:pPr>
        <w:spacing w:before="520"/>
        <w:jc w:val="center"/>
      </w:pPr>
      <w:r>
        <w:rPr>
          <w:i/>
          <w:color w:val="586574"/>
          <w:sz w:val="18"/>
        </w:rPr>
        <w:t>Documento académico basado en el paquete final, el código y la documentación disponibles.</w:t>
      </w:r>
    </w:p>
    <w:p>
      <w:r>
        <w:br w:type="page"/>
      </w:r>
    </w:p>
    <w:p>
      <w:pPr>
        <w:pStyle w:val="Heading1"/>
      </w:pPr>
      <w:r>
        <w:t>Síntesis del proyecto</w:t>
      </w:r>
    </w:p>
    <w:p>
      <w:r>
        <w:t>Kallami: Senderos de plata es un videojuego 2D de aventura narrativa y acción ligera. En la versión final, Juan Huanca recorre una comunidad al pie del cerro, asciende por rutas con sombras y llega a una cámara de plata. El jugador conversa con Florencio Mamani, reúne tres memorias, usa una honda, esquiva ataques y resuelve un ordenamiento narrativo antes del derrumbe final.</w:t>
      </w:r>
    </w:p>
    <w:p>
      <w:r>
        <w:t>El proyecto integra un cliente desarrollado en Godot 4.7.2 con una API local FastAPI y una base SQLite. Los perfiles usan PIN; el servidor conserva el avance separado por perfil y exige un token para consultar o guardar progreso. El paquete final registra 12 pruebas automatizadas aprobadas para el servidor. Las validaciones gráficas del cliente se deben reproducir en un equipo con Godot, tal como advierte el propio paquete.</w:t>
      </w:r>
    </w:p>
    <w:p>
      <w:pPr>
        <w:pStyle w:val="Heading1"/>
      </w:pPr>
      <w:r>
        <w:t>1. Identificación y alcance</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088"/>
            <w:vAlign w:val="center"/>
            <w:shd w:fill="19324A"/>
          </w:tcPr>
          <w:p>
            <w:pPr>
              <w:spacing w:after="0" w:before="0"/>
            </w:pPr>
            <w:r/>
            <w:r>
              <w:rPr>
                <w:rFonts w:ascii="Arial" w:hAnsi="Arial"/>
                <w:b/>
                <w:color w:val="FFFFFF"/>
                <w:sz w:val="18"/>
              </w:rPr>
              <w:t>Aspecto</w:t>
            </w:r>
          </w:p>
        </w:tc>
        <w:tc>
          <w:tcPr>
            <w:tcW w:type="dxa" w:w="7200"/>
            <w:vAlign w:val="center"/>
            <w:shd w:fill="19324A"/>
          </w:tcPr>
          <w:p>
            <w:pPr>
              <w:spacing w:after="0" w:before="0"/>
            </w:pPr>
            <w:r/>
            <w:r>
              <w:rPr>
                <w:rFonts w:ascii="Arial" w:hAnsi="Arial"/>
                <w:b/>
                <w:color w:val="FFFFFF"/>
                <w:sz w:val="18"/>
              </w:rPr>
              <w:t>Descripción</w:t>
            </w:r>
          </w:p>
        </w:tc>
      </w:tr>
      <w:tr>
        <w:trPr>
          <w:cantSplit/>
        </w:trPr>
        <w:tc>
          <w:tcPr>
            <w:tcW w:type="dxa" w:w="2088"/>
            <w:vAlign w:val="center"/>
          </w:tcPr>
          <w:p>
            <w:pPr>
              <w:spacing w:after="0" w:before="0"/>
            </w:pPr>
            <w:r/>
            <w:r>
              <w:rPr>
                <w:rFonts w:ascii="Arial" w:hAnsi="Arial"/>
                <w:b w:val="0"/>
                <w:color w:val="222831"/>
                <w:sz w:val="18"/>
              </w:rPr>
              <w:t>Producto</w:t>
            </w:r>
          </w:p>
        </w:tc>
        <w:tc>
          <w:tcPr>
            <w:tcW w:type="dxa" w:w="7200"/>
            <w:vAlign w:val="center"/>
          </w:tcPr>
          <w:p>
            <w:pPr>
              <w:spacing w:after="0" w:before="0"/>
            </w:pPr>
            <w:r/>
            <w:r>
              <w:rPr>
                <w:rFonts w:ascii="Arial" w:hAnsi="Arial"/>
                <w:b w:val="0"/>
                <w:color w:val="222831"/>
                <w:sz w:val="18"/>
              </w:rPr>
              <w:t>Videojuego 2D para una persona, título Kallami: Senderos de plata.</w:t>
            </w:r>
          </w:p>
        </w:tc>
      </w:tr>
      <w:tr>
        <w:trPr>
          <w:cantSplit/>
        </w:trPr>
        <w:tc>
          <w:tcPr>
            <w:tcW w:type="dxa" w:w="2088"/>
            <w:vAlign w:val="center"/>
            <w:shd w:fill="F3F6F8"/>
          </w:tcPr>
          <w:p>
            <w:pPr>
              <w:spacing w:after="0" w:before="0"/>
            </w:pPr>
            <w:r/>
            <w:r>
              <w:rPr>
                <w:rFonts w:ascii="Arial" w:hAnsi="Arial"/>
                <w:b w:val="0"/>
                <w:color w:val="222831"/>
                <w:sz w:val="18"/>
              </w:rPr>
              <w:t>Versión documentada</w:t>
            </w:r>
          </w:p>
        </w:tc>
        <w:tc>
          <w:tcPr>
            <w:tcW w:type="dxa" w:w="7200"/>
            <w:vAlign w:val="center"/>
            <w:shd w:fill="F3F6F8"/>
          </w:tcPr>
          <w:p>
            <w:pPr>
              <w:spacing w:after="0" w:before="0"/>
            </w:pPr>
            <w:r/>
            <w:r>
              <w:rPr>
                <w:rFonts w:ascii="Arial" w:hAnsi="Arial"/>
                <w:b w:val="0"/>
                <w:color w:val="222831"/>
                <w:sz w:val="18"/>
              </w:rPr>
              <w:t>Paquete original de escritorio con cliente Godot, servidor FastAPI y persistencia SQLite; README lo identifica como versión final 1.5.</w:t>
            </w:r>
          </w:p>
        </w:tc>
      </w:tr>
      <w:tr>
        <w:trPr>
          <w:cantSplit/>
        </w:trPr>
        <w:tc>
          <w:tcPr>
            <w:tcW w:type="dxa" w:w="2088"/>
            <w:vAlign w:val="center"/>
          </w:tcPr>
          <w:p>
            <w:pPr>
              <w:spacing w:after="0" w:before="0"/>
            </w:pPr>
            <w:r/>
            <w:r>
              <w:rPr>
                <w:rFonts w:ascii="Arial" w:hAnsi="Arial"/>
                <w:b w:val="0"/>
                <w:color w:val="222831"/>
                <w:sz w:val="18"/>
              </w:rPr>
              <w:t>Plataforma objetivo</w:t>
            </w:r>
          </w:p>
        </w:tc>
        <w:tc>
          <w:tcPr>
            <w:tcW w:type="dxa" w:w="7200"/>
            <w:vAlign w:val="center"/>
          </w:tcPr>
          <w:p>
            <w:pPr>
              <w:spacing w:after="0" w:before="0"/>
            </w:pPr>
            <w:r/>
            <w:r>
              <w:rPr>
                <w:rFonts w:ascii="Arial" w:hAnsi="Arial"/>
                <w:b w:val="0"/>
                <w:color w:val="222831"/>
                <w:sz w:val="18"/>
              </w:rPr>
              <w:t>PC con Godot 4.7.2; servidor accesible localmente en 127.0.0.1:8000.</w:t>
            </w:r>
          </w:p>
        </w:tc>
      </w:tr>
      <w:tr>
        <w:trPr>
          <w:cantSplit/>
        </w:trPr>
        <w:tc>
          <w:tcPr>
            <w:tcW w:type="dxa" w:w="2088"/>
            <w:vAlign w:val="center"/>
            <w:shd w:fill="F3F6F8"/>
          </w:tcPr>
          <w:p>
            <w:pPr>
              <w:spacing w:after="0" w:before="0"/>
            </w:pPr>
            <w:r/>
            <w:r>
              <w:rPr>
                <w:rFonts w:ascii="Arial" w:hAnsi="Arial"/>
                <w:b w:val="0"/>
                <w:color w:val="222831"/>
                <w:sz w:val="18"/>
              </w:rPr>
              <w:t>Alcance narrativo</w:t>
            </w:r>
          </w:p>
        </w:tc>
        <w:tc>
          <w:tcPr>
            <w:tcW w:type="dxa" w:w="7200"/>
            <w:vAlign w:val="center"/>
            <w:shd w:fill="F3F6F8"/>
          </w:tcPr>
          <w:p>
            <w:pPr>
              <w:spacing w:after="0" w:before="0"/>
            </w:pPr>
            <w:r/>
            <w:r>
              <w:rPr>
                <w:rFonts w:ascii="Arial" w:hAnsi="Arial"/>
                <w:b w:val="0"/>
                <w:color w:val="222831"/>
                <w:sz w:val="18"/>
              </w:rPr>
              <w:t>Tres niveles: comunidad, ascenso al Cerro Kallami y cámara de plata.</w:t>
            </w:r>
          </w:p>
        </w:tc>
      </w:tr>
      <w:tr>
        <w:trPr>
          <w:cantSplit/>
        </w:trPr>
        <w:tc>
          <w:tcPr>
            <w:tcW w:type="dxa" w:w="2088"/>
            <w:vAlign w:val="center"/>
          </w:tcPr>
          <w:p>
            <w:pPr>
              <w:spacing w:after="0" w:before="0"/>
            </w:pPr>
            <w:r/>
            <w:r>
              <w:rPr>
                <w:rFonts w:ascii="Arial" w:hAnsi="Arial"/>
                <w:b w:val="0"/>
                <w:color w:val="222831"/>
                <w:sz w:val="18"/>
              </w:rPr>
              <w:t>Modalidad de juego</w:t>
            </w:r>
          </w:p>
        </w:tc>
        <w:tc>
          <w:tcPr>
            <w:tcW w:type="dxa" w:w="7200"/>
            <w:vAlign w:val="center"/>
          </w:tcPr>
          <w:p>
            <w:pPr>
              <w:spacing w:after="0" w:before="0"/>
            </w:pPr>
            <w:r/>
            <w:r>
              <w:rPr>
                <w:rFonts w:ascii="Arial" w:hAnsi="Arial"/>
                <w:b w:val="0"/>
                <w:color w:val="222831"/>
                <w:sz w:val="18"/>
              </w:rPr>
              <w:t>Exploración, diálogo, recolección de memorias, combate breve, esquiva y rompecabezas.</w:t>
            </w:r>
          </w:p>
        </w:tc>
      </w:tr>
      <w:tr>
        <w:trPr>
          <w:cantSplit/>
        </w:trPr>
        <w:tc>
          <w:tcPr>
            <w:tcW w:type="dxa" w:w="2088"/>
            <w:vAlign w:val="center"/>
            <w:shd w:fill="F3F6F8"/>
          </w:tcPr>
          <w:p>
            <w:pPr>
              <w:spacing w:after="0" w:before="0"/>
            </w:pPr>
            <w:r/>
            <w:r>
              <w:rPr>
                <w:rFonts w:ascii="Arial" w:hAnsi="Arial"/>
                <w:b w:val="0"/>
                <w:color w:val="222831"/>
                <w:sz w:val="18"/>
              </w:rPr>
              <w:t>Fuera del alcance</w:t>
            </w:r>
          </w:p>
        </w:tc>
        <w:tc>
          <w:tcPr>
            <w:tcW w:type="dxa" w:w="7200"/>
            <w:vAlign w:val="center"/>
            <w:shd w:fill="F3F6F8"/>
          </w:tcPr>
          <w:p>
            <w:pPr>
              <w:spacing w:after="0" w:before="0"/>
            </w:pPr>
            <w:r/>
            <w:r>
              <w:rPr>
                <w:rFonts w:ascii="Arial" w:hAnsi="Arial"/>
                <w:b w:val="0"/>
                <w:color w:val="222831"/>
                <w:sz w:val="18"/>
              </w:rPr>
              <w:t>Multijugador, servicio remoto, sincronización entre dispositivos, recuperación de PIN y servicio de producción.</w:t>
            </w:r>
          </w:p>
        </w:tc>
      </w:tr>
    </w:tbl>
    <w:p>
      <w:pPr>
        <w:spacing w:after="20"/>
      </w:pPr>
    </w:p>
    <w:p>
      <w:pPr>
        <w:spacing w:before="80" w:after="160"/>
        <w:ind w:left="259" w:right="259"/>
      </w:pPr>
      <w:r>
        <w:rPr>
          <w:b/>
          <w:color w:val="B78936"/>
        </w:rPr>
        <w:t xml:space="preserve">Alcance de esta memoria. </w:t>
      </w:r>
      <w:r>
        <w:t>Se documenta el paquete original que usa servidor. La exportación web local sin servidor publicada en el portal es una variante distinta y no constituye la arquitectura descrita aquí.</w:t>
      </w:r>
    </w:p>
    <w:p>
      <w:pPr>
        <w:pStyle w:val="Heading1"/>
      </w:pPr>
      <w:r>
        <w:t>2. Objetivos y resultado</w:t>
      </w:r>
    </w:p>
    <w:p>
      <w:pPr>
        <w:pStyle w:val="Heading2"/>
      </w:pPr>
      <w:r>
        <w:t>Objetivo general</w:t>
      </w:r>
    </w:p>
    <w:p>
      <w:r>
        <w:t>Desarrollar una experiencia jugable completa, basada en una adaptación ficticia inspirada en el relato del Cerro Kallami, que conecte narrativa, exploración, combate sencillo y progreso persistente por perfil.</w:t>
      </w:r>
    </w:p>
    <w:p>
      <w:pPr>
        <w:pStyle w:val="Heading2"/>
      </w:pPr>
      <w:r>
        <w:t>Resultados concretos</w:t>
      </w:r>
    </w:p>
    <w:p>
      <w:pPr>
        <w:pStyle w:val="ListBullet"/>
        <w:spacing w:after="60"/>
        <w:ind w:left="346" w:hanging="173"/>
      </w:pPr>
      <w:r>
        <w:t>Tres niveles enlazados con objetivos, enemigos, checkpoints y avance de misión.</w:t>
      </w:r>
    </w:p>
    <w:p>
      <w:pPr>
        <w:pStyle w:val="ListBullet"/>
        <w:spacing w:after="60"/>
        <w:ind w:left="346" w:hanging="173"/>
      </w:pPr>
      <w:r>
        <w:t>Diálogo con Florencio, retrato de medio cuerpo, voz sintetizada y animación de boca.</w:t>
      </w:r>
    </w:p>
    <w:p>
      <w:pPr>
        <w:pStyle w:val="ListBullet"/>
        <w:spacing w:after="60"/>
        <w:ind w:left="346" w:hanging="173"/>
      </w:pPr>
      <w:r>
        <w:t>Honda cargable, proyectiles de piedra, esquiva, tres clases de sombras y guardianes finales.</w:t>
      </w:r>
    </w:p>
    <w:p>
      <w:pPr>
        <w:pStyle w:val="ListBullet"/>
        <w:spacing w:after="60"/>
        <w:ind w:left="346" w:hanging="173"/>
      </w:pPr>
      <w:r>
        <w:t>Vida sobre el protagonista, HUD, minimapa progresivo y niebla que limita la visión.</w:t>
      </w:r>
    </w:p>
    <w:p>
      <w:pPr>
        <w:pStyle w:val="ListBullet"/>
        <w:spacing w:after="60"/>
        <w:ind w:left="346" w:hanging="173"/>
      </w:pPr>
      <w:r>
        <w:t>Pedestales que se activan en orden, terremoto/derrumbe y altar final.</w:t>
      </w:r>
    </w:p>
    <w:p>
      <w:pPr>
        <w:pStyle w:val="ListBullet"/>
        <w:spacing w:after="60"/>
        <w:ind w:left="346" w:hanging="173"/>
      </w:pPr>
      <w:r>
        <w:t>Perfiles, PIN, inicio de sesión, cambio de perfil, eliminación y recuperación del progreso.</w:t>
      </w:r>
    </w:p>
    <w:p>
      <w:pPr>
        <w:pStyle w:val="ListBullet"/>
        <w:spacing w:after="60"/>
        <w:ind w:left="346" w:hanging="173"/>
      </w:pPr>
      <w:r>
        <w:t>Música y efectos diferentes para la comunidad, el ascenso, la cámara y la persecución final.</w:t>
      </w:r>
    </w:p>
    <w:p>
      <w:pPr>
        <w:pStyle w:val="Heading1"/>
      </w:pPr>
      <w:r>
        <w:t>3. Experiencia y progresión</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800"/>
            <w:vAlign w:val="center"/>
            <w:shd w:fill="19324A"/>
          </w:tcPr>
          <w:p>
            <w:pPr>
              <w:spacing w:after="0" w:before="0"/>
            </w:pPr>
            <w:r/>
            <w:r>
              <w:rPr>
                <w:rFonts w:ascii="Arial" w:hAnsi="Arial"/>
                <w:b/>
                <w:color w:val="FFFFFF"/>
                <w:sz w:val="18"/>
              </w:rPr>
              <w:t>Tramo</w:t>
            </w:r>
          </w:p>
        </w:tc>
        <w:tc>
          <w:tcPr>
            <w:tcW w:type="dxa" w:w="4320"/>
            <w:vAlign w:val="center"/>
            <w:shd w:fill="19324A"/>
          </w:tcPr>
          <w:p>
            <w:pPr>
              <w:spacing w:after="0" w:before="0"/>
            </w:pPr>
            <w:r/>
            <w:r>
              <w:rPr>
                <w:rFonts w:ascii="Arial" w:hAnsi="Arial"/>
                <w:b/>
                <w:color w:val="FFFFFF"/>
                <w:sz w:val="18"/>
              </w:rPr>
              <w:t>Acción del jugador</w:t>
            </w:r>
          </w:p>
        </w:tc>
        <w:tc>
          <w:tcPr>
            <w:tcW w:type="dxa" w:w="3168"/>
            <w:vAlign w:val="center"/>
            <w:shd w:fill="19324A"/>
          </w:tcPr>
          <w:p>
            <w:pPr>
              <w:spacing w:after="0" w:before="0"/>
            </w:pPr>
            <w:r/>
            <w:r>
              <w:rPr>
                <w:rFonts w:ascii="Arial" w:hAnsi="Arial"/>
                <w:b/>
                <w:color w:val="FFFFFF"/>
                <w:sz w:val="18"/>
              </w:rPr>
              <w:t>Resultado jugable</w:t>
            </w:r>
          </w:p>
        </w:tc>
      </w:tr>
      <w:tr>
        <w:trPr>
          <w:cantSplit/>
        </w:trPr>
        <w:tc>
          <w:tcPr>
            <w:tcW w:type="dxa" w:w="1800"/>
            <w:vAlign w:val="center"/>
          </w:tcPr>
          <w:p>
            <w:pPr>
              <w:spacing w:after="0" w:before="0"/>
            </w:pPr>
            <w:r/>
            <w:r>
              <w:rPr>
                <w:rFonts w:ascii="Arial" w:hAnsi="Arial"/>
                <w:b w:val="0"/>
                <w:color w:val="222831"/>
                <w:sz w:val="18"/>
              </w:rPr>
              <w:t>1 · Comunidad</w:t>
            </w:r>
          </w:p>
        </w:tc>
        <w:tc>
          <w:tcPr>
            <w:tcW w:type="dxa" w:w="4320"/>
            <w:vAlign w:val="center"/>
          </w:tcPr>
          <w:p>
            <w:pPr>
              <w:spacing w:after="0" w:before="0"/>
            </w:pPr>
            <w:r/>
            <w:r>
              <w:rPr>
                <w:rFonts w:ascii="Arial" w:hAnsi="Arial"/>
                <w:b w:val="0"/>
                <w:color w:val="222831"/>
                <w:sz w:val="18"/>
              </w:rPr>
              <w:t>Crear o elegir un perfil; hablar con Florencio con E; recorrer el pueblo y llegar al portal.</w:t>
            </w:r>
          </w:p>
        </w:tc>
        <w:tc>
          <w:tcPr>
            <w:tcW w:type="dxa" w:w="3168"/>
            <w:vAlign w:val="center"/>
          </w:tcPr>
          <w:p>
            <w:pPr>
              <w:spacing w:after="0" w:before="0"/>
            </w:pPr>
            <w:r/>
            <w:r>
              <w:rPr>
                <w:rFonts w:ascii="Arial" w:hAnsi="Arial"/>
                <w:b w:val="0"/>
                <w:color w:val="222831"/>
                <w:sz w:val="18"/>
              </w:rPr>
              <w:t>Se inicia la misión y se presenta el conflicto.</w:t>
            </w:r>
          </w:p>
        </w:tc>
      </w:tr>
      <w:tr>
        <w:trPr>
          <w:cantSplit/>
        </w:trPr>
        <w:tc>
          <w:tcPr>
            <w:tcW w:type="dxa" w:w="1800"/>
            <w:vAlign w:val="center"/>
            <w:shd w:fill="F3F6F8"/>
          </w:tcPr>
          <w:p>
            <w:pPr>
              <w:spacing w:after="0" w:before="0"/>
            </w:pPr>
            <w:r/>
            <w:r>
              <w:rPr>
                <w:rFonts w:ascii="Arial" w:hAnsi="Arial"/>
                <w:b w:val="0"/>
                <w:color w:val="222831"/>
                <w:sz w:val="18"/>
              </w:rPr>
              <w:t>2 · Ascenso</w:t>
            </w:r>
          </w:p>
        </w:tc>
        <w:tc>
          <w:tcPr>
            <w:tcW w:type="dxa" w:w="4320"/>
            <w:vAlign w:val="center"/>
            <w:shd w:fill="F3F6F8"/>
          </w:tcPr>
          <w:p>
            <w:pPr>
              <w:spacing w:after="0" w:before="0"/>
            </w:pPr>
            <w:r/>
            <w:r>
              <w:rPr>
                <w:rFonts w:ascii="Arial" w:hAnsi="Arial"/>
                <w:b w:val="0"/>
                <w:color w:val="222831"/>
                <w:sz w:val="18"/>
              </w:rPr>
              <w:t>Explorar el sendero, esquivar y combatir sombras, activar checkpoints y reunir tres memorias.</w:t>
            </w:r>
          </w:p>
        </w:tc>
        <w:tc>
          <w:tcPr>
            <w:tcW w:type="dxa" w:w="3168"/>
            <w:vAlign w:val="center"/>
            <w:shd w:fill="F3F6F8"/>
          </w:tcPr>
          <w:p>
            <w:pPr>
              <w:spacing w:after="0" w:before="0"/>
            </w:pPr>
            <w:r/>
            <w:r>
              <w:rPr>
                <w:rFonts w:ascii="Arial" w:hAnsi="Arial"/>
                <w:b w:val="0"/>
                <w:color w:val="222831"/>
                <w:sz w:val="18"/>
              </w:rPr>
              <w:t>Se abre el acceso a la cámara de plata.</w:t>
            </w:r>
          </w:p>
        </w:tc>
      </w:tr>
      <w:tr>
        <w:trPr>
          <w:cantSplit/>
        </w:trPr>
        <w:tc>
          <w:tcPr>
            <w:tcW w:type="dxa" w:w="1800"/>
            <w:vAlign w:val="center"/>
          </w:tcPr>
          <w:p>
            <w:pPr>
              <w:spacing w:after="0" w:before="0"/>
            </w:pPr>
            <w:r/>
            <w:r>
              <w:rPr>
                <w:rFonts w:ascii="Arial" w:hAnsi="Arial"/>
                <w:b w:val="0"/>
                <w:color w:val="222831"/>
                <w:sz w:val="18"/>
              </w:rPr>
              <w:t>3 · Cámara de plata</w:t>
            </w:r>
          </w:p>
        </w:tc>
        <w:tc>
          <w:tcPr>
            <w:tcW w:type="dxa" w:w="4320"/>
            <w:vAlign w:val="center"/>
          </w:tcPr>
          <w:p>
            <w:pPr>
              <w:spacing w:after="0" w:before="0"/>
            </w:pPr>
            <w:r/>
            <w:r>
              <w:rPr>
                <w:rFonts w:ascii="Arial" w:hAnsi="Arial"/>
                <w:b w:val="0"/>
                <w:color w:val="222831"/>
                <w:sz w:val="18"/>
              </w:rPr>
              <w:t>Superar a dos guardianes, ordenar los pedestales, sobrevivir al derrumbe y llegar al altar.</w:t>
            </w:r>
          </w:p>
        </w:tc>
        <w:tc>
          <w:tcPr>
            <w:tcW w:type="dxa" w:w="3168"/>
            <w:vAlign w:val="center"/>
          </w:tcPr>
          <w:p>
            <w:pPr>
              <w:spacing w:after="0" w:before="0"/>
            </w:pPr>
            <w:r/>
            <w:r>
              <w:rPr>
                <w:rFonts w:ascii="Arial" w:hAnsi="Arial"/>
                <w:b w:val="0"/>
                <w:color w:val="222831"/>
                <w:sz w:val="18"/>
              </w:rPr>
              <w:t>Se completa la aventura y aparece el cierre narrativo.</w:t>
            </w:r>
          </w:p>
        </w:tc>
      </w:tr>
    </w:tbl>
    <w:p>
      <w:pPr>
        <w:spacing w:after="20"/>
      </w:pPr>
    </w:p>
    <w:p>
      <w:r>
        <w:t>Los controles documentados son: movimiento con WASD o flechas; interacción con E; avanzar diálogo con E, Espacio o Enter; cargar y lanzar la honda manteniendo y soltando F; esquiva con Espacio; guardado manual con G; pausa con Esc; pantalla completa con F11. El menú de pausa permite cambiar de perfil. La tecla N reinicia el perfil después de completar la aventura.</w:t>
      </w:r>
    </w:p>
    <w:p>
      <w:pPr>
        <w:pStyle w:val="Heading1"/>
      </w:pPr>
      <w:r>
        <w:t>4. Arquitectura e integración</w:t>
      </w:r>
    </w:p>
    <w:p>
      <w:r>
        <w:t>La aplicación se divide en tres partes. Godot gestiona escena, movimiento, enemigos, HUD, audio y solicitudes HTTP. FastAPI recibe y valida operaciones del cliente. SQLite conserva perfiles y progreso en el equipo donde corre el servidor.</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656"/>
            <w:vAlign w:val="center"/>
            <w:shd w:fill="19324A"/>
          </w:tcPr>
          <w:p>
            <w:pPr>
              <w:spacing w:after="0" w:before="0"/>
            </w:pPr>
            <w:r/>
            <w:r>
              <w:rPr>
                <w:rFonts w:ascii="Arial" w:hAnsi="Arial"/>
                <w:b/>
                <w:color w:val="FFFFFF"/>
                <w:sz w:val="18"/>
              </w:rPr>
              <w:t>Componente</w:t>
            </w:r>
          </w:p>
        </w:tc>
        <w:tc>
          <w:tcPr>
            <w:tcW w:type="dxa" w:w="4680"/>
            <w:vAlign w:val="center"/>
            <w:shd w:fill="19324A"/>
          </w:tcPr>
          <w:p>
            <w:pPr>
              <w:spacing w:after="0" w:before="0"/>
            </w:pPr>
            <w:r/>
            <w:r>
              <w:rPr>
                <w:rFonts w:ascii="Arial" w:hAnsi="Arial"/>
                <w:b/>
                <w:color w:val="FFFFFF"/>
                <w:sz w:val="18"/>
              </w:rPr>
              <w:t>Responsabilidad</w:t>
            </w:r>
          </w:p>
        </w:tc>
        <w:tc>
          <w:tcPr>
            <w:tcW w:type="dxa" w:w="3096"/>
            <w:vAlign w:val="center"/>
            <w:shd w:fill="19324A"/>
          </w:tcPr>
          <w:p>
            <w:pPr>
              <w:spacing w:after="0" w:before="0"/>
            </w:pPr>
            <w:r/>
            <w:r>
              <w:rPr>
                <w:rFonts w:ascii="Arial" w:hAnsi="Arial"/>
                <w:b/>
                <w:color w:val="FFFFFF"/>
                <w:sz w:val="18"/>
              </w:rPr>
              <w:t>Tecnología / evidencia</w:t>
            </w:r>
          </w:p>
        </w:tc>
      </w:tr>
      <w:tr>
        <w:trPr>
          <w:cantSplit/>
        </w:trPr>
        <w:tc>
          <w:tcPr>
            <w:tcW w:type="dxa" w:w="1656"/>
            <w:vAlign w:val="center"/>
          </w:tcPr>
          <w:p>
            <w:pPr>
              <w:spacing w:after="0" w:before="0"/>
            </w:pPr>
            <w:r/>
            <w:r>
              <w:rPr>
                <w:rFonts w:ascii="Arial" w:hAnsi="Arial"/>
                <w:b w:val="0"/>
                <w:color w:val="222831"/>
                <w:sz w:val="18"/>
              </w:rPr>
              <w:t>Cliente</w:t>
            </w:r>
          </w:p>
        </w:tc>
        <w:tc>
          <w:tcPr>
            <w:tcW w:type="dxa" w:w="4680"/>
            <w:vAlign w:val="center"/>
          </w:tcPr>
          <w:p>
            <w:pPr>
              <w:spacing w:after="0" w:before="0"/>
            </w:pPr>
            <w:r/>
            <w:r>
              <w:rPr>
                <w:rFonts w:ascii="Arial" w:hAnsi="Arial"/>
                <w:b w:val="0"/>
                <w:color w:val="222831"/>
                <w:sz w:val="18"/>
              </w:rPr>
              <w:t>Juego, diálogos, combate, niveles, HUD, audio, perfiles y llamadas HTTP.</w:t>
            </w:r>
          </w:p>
        </w:tc>
        <w:tc>
          <w:tcPr>
            <w:tcW w:type="dxa" w:w="3096"/>
            <w:vAlign w:val="center"/>
          </w:tcPr>
          <w:p>
            <w:pPr>
              <w:spacing w:after="0" w:before="0"/>
            </w:pPr>
            <w:r/>
            <w:r>
              <w:rPr>
                <w:rFonts w:ascii="Arial" w:hAnsi="Arial"/>
                <w:b w:val="0"/>
                <w:color w:val="222831"/>
                <w:sz w:val="18"/>
              </w:rPr>
              <w:t>Godot 4.7.2; proyecto en cliente_godot/.</w:t>
            </w:r>
          </w:p>
        </w:tc>
      </w:tr>
      <w:tr>
        <w:trPr>
          <w:cantSplit/>
        </w:trPr>
        <w:tc>
          <w:tcPr>
            <w:tcW w:type="dxa" w:w="1656"/>
            <w:vAlign w:val="center"/>
            <w:shd w:fill="F3F6F8"/>
          </w:tcPr>
          <w:p>
            <w:pPr>
              <w:spacing w:after="0" w:before="0"/>
            </w:pPr>
            <w:r/>
            <w:r>
              <w:rPr>
                <w:rFonts w:ascii="Arial" w:hAnsi="Arial"/>
                <w:b w:val="0"/>
                <w:color w:val="222831"/>
                <w:sz w:val="18"/>
              </w:rPr>
              <w:t>API</w:t>
            </w:r>
          </w:p>
        </w:tc>
        <w:tc>
          <w:tcPr>
            <w:tcW w:type="dxa" w:w="4680"/>
            <w:vAlign w:val="center"/>
            <w:shd w:fill="F3F6F8"/>
          </w:tcPr>
          <w:p>
            <w:pPr>
              <w:spacing w:after="0" w:before="0"/>
            </w:pPr>
            <w:r/>
            <w:r>
              <w:rPr>
                <w:rFonts w:ascii="Arial" w:hAnsi="Arial"/>
                <w:b w:val="0"/>
                <w:color w:val="222831"/>
                <w:sz w:val="18"/>
              </w:rPr>
              <w:t>Crear/listar perfiles, iniciar sesión, consultar, guardar y reiniciar progreso.</w:t>
            </w:r>
          </w:p>
        </w:tc>
        <w:tc>
          <w:tcPr>
            <w:tcW w:type="dxa" w:w="3096"/>
            <w:vAlign w:val="center"/>
            <w:shd w:fill="F3F6F8"/>
          </w:tcPr>
          <w:p>
            <w:pPr>
              <w:spacing w:after="0" w:before="0"/>
            </w:pPr>
            <w:r/>
            <w:r>
              <w:rPr>
                <w:rFonts w:ascii="Arial" w:hAnsi="Arial"/>
                <w:b w:val="0"/>
                <w:color w:val="222831"/>
                <w:sz w:val="18"/>
              </w:rPr>
              <w:t>FastAPI; contrato documentado en docs/CONTRATO_API.md.</w:t>
            </w:r>
          </w:p>
        </w:tc>
      </w:tr>
      <w:tr>
        <w:trPr>
          <w:cantSplit/>
        </w:trPr>
        <w:tc>
          <w:tcPr>
            <w:tcW w:type="dxa" w:w="1656"/>
            <w:vAlign w:val="center"/>
          </w:tcPr>
          <w:p>
            <w:pPr>
              <w:spacing w:after="0" w:before="0"/>
            </w:pPr>
            <w:r/>
            <w:r>
              <w:rPr>
                <w:rFonts w:ascii="Arial" w:hAnsi="Arial"/>
                <w:b w:val="0"/>
                <w:color w:val="222831"/>
                <w:sz w:val="18"/>
              </w:rPr>
              <w:t>Datos</w:t>
            </w:r>
          </w:p>
        </w:tc>
        <w:tc>
          <w:tcPr>
            <w:tcW w:type="dxa" w:w="4680"/>
            <w:vAlign w:val="center"/>
          </w:tcPr>
          <w:p>
            <w:pPr>
              <w:spacing w:after="0" w:before="0"/>
            </w:pPr>
            <w:r/>
            <w:r>
              <w:rPr>
                <w:rFonts w:ascii="Arial" w:hAnsi="Arial"/>
                <w:b w:val="0"/>
                <w:color w:val="222831"/>
                <w:sz w:val="18"/>
              </w:rPr>
              <w:t>Hash de PIN, token, datos de perfil y estado de partida.</w:t>
            </w:r>
          </w:p>
        </w:tc>
        <w:tc>
          <w:tcPr>
            <w:tcW w:type="dxa" w:w="3096"/>
            <w:vAlign w:val="center"/>
          </w:tcPr>
          <w:p>
            <w:pPr>
              <w:spacing w:after="0" w:before="0"/>
            </w:pPr>
            <w:r/>
            <w:r>
              <w:rPr>
                <w:rFonts w:ascii="Arial" w:hAnsi="Arial"/>
                <w:b w:val="0"/>
                <w:color w:val="222831"/>
                <w:sz w:val="18"/>
              </w:rPr>
              <w:t>SQLite local; esquema inicializado y migración para puzzle_step.</w:t>
            </w:r>
          </w:p>
        </w:tc>
      </w:tr>
      <w:tr>
        <w:trPr>
          <w:cantSplit/>
        </w:trPr>
        <w:tc>
          <w:tcPr>
            <w:tcW w:type="dxa" w:w="1656"/>
            <w:vAlign w:val="center"/>
            <w:shd w:fill="F3F6F8"/>
          </w:tcPr>
          <w:p>
            <w:pPr>
              <w:spacing w:after="0" w:before="0"/>
            </w:pPr>
            <w:r/>
            <w:r>
              <w:rPr>
                <w:rFonts w:ascii="Arial" w:hAnsi="Arial"/>
                <w:b w:val="0"/>
                <w:color w:val="222831"/>
                <w:sz w:val="18"/>
              </w:rPr>
              <w:t>Integración</w:t>
            </w:r>
          </w:p>
        </w:tc>
        <w:tc>
          <w:tcPr>
            <w:tcW w:type="dxa" w:w="4680"/>
            <w:vAlign w:val="center"/>
            <w:shd w:fill="F3F6F8"/>
          </w:tcPr>
          <w:p>
            <w:pPr>
              <w:spacing w:after="0" w:before="0"/>
            </w:pPr>
            <w:r/>
            <w:r>
              <w:rPr>
                <w:rFonts w:ascii="Arial" w:hAnsi="Arial"/>
                <w:b w:val="0"/>
                <w:color w:val="222831"/>
                <w:sz w:val="18"/>
              </w:rPr>
              <w:t>JSON por HTTP; progreso autorizado con Bearer token.</w:t>
            </w:r>
          </w:p>
        </w:tc>
        <w:tc>
          <w:tcPr>
            <w:tcW w:type="dxa" w:w="3096"/>
            <w:vAlign w:val="center"/>
            <w:shd w:fill="F3F6F8"/>
          </w:tcPr>
          <w:p>
            <w:pPr>
              <w:spacing w:after="0" w:before="0"/>
            </w:pPr>
            <w:r/>
            <w:r>
              <w:rPr>
                <w:rFonts w:ascii="Arial" w:hAnsi="Arial"/>
                <w:b w:val="0"/>
                <w:color w:val="222831"/>
                <w:sz w:val="18"/>
              </w:rPr>
              <w:t>URL de demostración 127.0.0.1:8000.</w:t>
            </w:r>
          </w:p>
        </w:tc>
      </w:tr>
    </w:tbl>
    <w:p>
      <w:pPr>
        <w:spacing w:after="20"/>
      </w:pPr>
    </w:p>
    <w:p>
      <w:pPr>
        <w:pStyle w:val="Heading2"/>
      </w:pPr>
      <w:r>
        <w:t>Rutas principales de API</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3096"/>
            <w:vAlign w:val="center"/>
            <w:shd w:fill="19324A"/>
          </w:tcPr>
          <w:p>
            <w:pPr>
              <w:spacing w:after="0" w:before="0"/>
            </w:pPr>
            <w:r/>
            <w:r>
              <w:rPr>
                <w:rFonts w:ascii="Arial" w:hAnsi="Arial"/>
                <w:b/>
                <w:color w:val="FFFFFF"/>
                <w:sz w:val="18"/>
              </w:rPr>
              <w:t>Método y ruta</w:t>
            </w:r>
          </w:p>
        </w:tc>
        <w:tc>
          <w:tcPr>
            <w:tcW w:type="dxa" w:w="4032"/>
            <w:vAlign w:val="center"/>
            <w:shd w:fill="19324A"/>
          </w:tcPr>
          <w:p>
            <w:pPr>
              <w:spacing w:after="0" w:before="0"/>
            </w:pPr>
            <w:r/>
            <w:r>
              <w:rPr>
                <w:rFonts w:ascii="Arial" w:hAnsi="Arial"/>
                <w:b/>
                <w:color w:val="FFFFFF"/>
                <w:sz w:val="18"/>
              </w:rPr>
              <w:t>Uso</w:t>
            </w:r>
          </w:p>
        </w:tc>
        <w:tc>
          <w:tcPr>
            <w:tcW w:type="dxa" w:w="2304"/>
            <w:vAlign w:val="center"/>
            <w:shd w:fill="19324A"/>
          </w:tcPr>
          <w:p>
            <w:pPr>
              <w:spacing w:after="0" w:before="0"/>
            </w:pPr>
            <w:r/>
            <w:r>
              <w:rPr>
                <w:rFonts w:ascii="Arial" w:hAnsi="Arial"/>
                <w:b/>
                <w:color w:val="FFFFFF"/>
                <w:sz w:val="18"/>
              </w:rPr>
              <w:t>Control de acceso</w:t>
            </w:r>
          </w:p>
        </w:tc>
      </w:tr>
      <w:tr>
        <w:trPr>
          <w:cantSplit/>
        </w:trPr>
        <w:tc>
          <w:tcPr>
            <w:tcW w:type="dxa" w:w="3096"/>
            <w:vAlign w:val="center"/>
          </w:tcPr>
          <w:p>
            <w:pPr>
              <w:spacing w:after="0" w:before="0"/>
            </w:pPr>
            <w:r/>
            <w:r>
              <w:rPr>
                <w:rFonts w:ascii="Arial" w:hAnsi="Arial"/>
                <w:b w:val="0"/>
                <w:color w:val="222831"/>
                <w:sz w:val="18"/>
              </w:rPr>
              <w:t>GET /api/estado</w:t>
            </w:r>
          </w:p>
        </w:tc>
        <w:tc>
          <w:tcPr>
            <w:tcW w:type="dxa" w:w="4032"/>
            <w:vAlign w:val="center"/>
          </w:tcPr>
          <w:p>
            <w:pPr>
              <w:spacing w:after="0" w:before="0"/>
            </w:pPr>
            <w:r/>
            <w:r>
              <w:rPr>
                <w:rFonts w:ascii="Arial" w:hAnsi="Arial"/>
                <w:b w:val="0"/>
                <w:color w:val="222831"/>
                <w:sz w:val="18"/>
              </w:rPr>
              <w:t>Estado y versión del servicio.</w:t>
            </w:r>
          </w:p>
        </w:tc>
        <w:tc>
          <w:tcPr>
            <w:tcW w:type="dxa" w:w="2304"/>
            <w:vAlign w:val="center"/>
          </w:tcPr>
          <w:p>
            <w:pPr>
              <w:spacing w:after="0" w:before="0"/>
            </w:pPr>
            <w:r/>
            <w:r>
              <w:rPr>
                <w:rFonts w:ascii="Arial" w:hAnsi="Arial"/>
                <w:b w:val="0"/>
                <w:color w:val="222831"/>
                <w:sz w:val="18"/>
              </w:rPr>
              <w:t>Sin sesión.</w:t>
            </w:r>
          </w:p>
        </w:tc>
      </w:tr>
      <w:tr>
        <w:trPr>
          <w:cantSplit/>
        </w:trPr>
        <w:tc>
          <w:tcPr>
            <w:tcW w:type="dxa" w:w="3096"/>
            <w:vAlign w:val="center"/>
            <w:shd w:fill="F3F6F8"/>
          </w:tcPr>
          <w:p>
            <w:pPr>
              <w:spacing w:after="0" w:before="0"/>
            </w:pPr>
            <w:r/>
            <w:r>
              <w:rPr>
                <w:rFonts w:ascii="Arial" w:hAnsi="Arial"/>
                <w:b w:val="0"/>
                <w:color w:val="222831"/>
                <w:sz w:val="18"/>
              </w:rPr>
              <w:t>GET /api/perfiles</w:t>
            </w:r>
          </w:p>
        </w:tc>
        <w:tc>
          <w:tcPr>
            <w:tcW w:type="dxa" w:w="4032"/>
            <w:vAlign w:val="center"/>
            <w:shd w:fill="F3F6F8"/>
          </w:tcPr>
          <w:p>
            <w:pPr>
              <w:spacing w:after="0" w:before="0"/>
            </w:pPr>
            <w:r/>
            <w:r>
              <w:rPr>
                <w:rFonts w:ascii="Arial" w:hAnsi="Arial"/>
                <w:b w:val="0"/>
                <w:color w:val="222831"/>
                <w:sz w:val="18"/>
              </w:rPr>
              <w:t>Lista nombres e identificadores públicos.</w:t>
            </w:r>
          </w:p>
        </w:tc>
        <w:tc>
          <w:tcPr>
            <w:tcW w:type="dxa" w:w="2304"/>
            <w:vAlign w:val="center"/>
            <w:shd w:fill="F3F6F8"/>
          </w:tcPr>
          <w:p>
            <w:pPr>
              <w:spacing w:after="0" w:before="0"/>
            </w:pPr>
            <w:r/>
            <w:r>
              <w:rPr>
                <w:rFonts w:ascii="Arial" w:hAnsi="Arial"/>
                <w:b w:val="0"/>
                <w:color w:val="222831"/>
                <w:sz w:val="18"/>
              </w:rPr>
              <w:t>Sin exponer hash de PIN.</w:t>
            </w:r>
          </w:p>
        </w:tc>
      </w:tr>
      <w:tr>
        <w:trPr>
          <w:cantSplit/>
        </w:trPr>
        <w:tc>
          <w:tcPr>
            <w:tcW w:type="dxa" w:w="3096"/>
            <w:vAlign w:val="center"/>
          </w:tcPr>
          <w:p>
            <w:pPr>
              <w:spacing w:after="0" w:before="0"/>
            </w:pPr>
            <w:r/>
            <w:r>
              <w:rPr>
                <w:rFonts w:ascii="Arial" w:hAnsi="Arial"/>
                <w:b w:val="0"/>
                <w:color w:val="222831"/>
                <w:sz w:val="18"/>
              </w:rPr>
              <w:t>POST /api/perfiles</w:t>
            </w:r>
          </w:p>
        </w:tc>
        <w:tc>
          <w:tcPr>
            <w:tcW w:type="dxa" w:w="4032"/>
            <w:vAlign w:val="center"/>
          </w:tcPr>
          <w:p>
            <w:pPr>
              <w:spacing w:after="0" w:before="0"/>
            </w:pPr>
            <w:r/>
            <w:r>
              <w:rPr>
                <w:rFonts w:ascii="Arial" w:hAnsi="Arial"/>
                <w:b w:val="0"/>
                <w:color w:val="222831"/>
                <w:sz w:val="18"/>
              </w:rPr>
              <w:t>Crea perfil y progreso inicial.</w:t>
            </w:r>
          </w:p>
        </w:tc>
        <w:tc>
          <w:tcPr>
            <w:tcW w:type="dxa" w:w="2304"/>
            <w:vAlign w:val="center"/>
          </w:tcPr>
          <w:p>
            <w:pPr>
              <w:spacing w:after="0" w:before="0"/>
            </w:pPr>
            <w:r/>
            <w:r>
              <w:rPr>
                <w:rFonts w:ascii="Arial" w:hAnsi="Arial"/>
                <w:b w:val="0"/>
                <w:color w:val="222831"/>
                <w:sz w:val="18"/>
              </w:rPr>
              <w:t>PIN de cuatro dígitos en solicitud.</w:t>
            </w:r>
          </w:p>
        </w:tc>
      </w:tr>
      <w:tr>
        <w:trPr>
          <w:cantSplit/>
        </w:trPr>
        <w:tc>
          <w:tcPr>
            <w:tcW w:type="dxa" w:w="3096"/>
            <w:vAlign w:val="center"/>
            <w:shd w:fill="F3F6F8"/>
          </w:tcPr>
          <w:p>
            <w:pPr>
              <w:spacing w:after="0" w:before="0"/>
            </w:pPr>
            <w:r/>
            <w:r>
              <w:rPr>
                <w:rFonts w:ascii="Arial" w:hAnsi="Arial"/>
                <w:b w:val="0"/>
                <w:color w:val="222831"/>
                <w:sz w:val="18"/>
              </w:rPr>
              <w:t>POST /api/perfiles/login</w:t>
            </w:r>
          </w:p>
        </w:tc>
        <w:tc>
          <w:tcPr>
            <w:tcW w:type="dxa" w:w="4032"/>
            <w:vAlign w:val="center"/>
            <w:shd w:fill="F3F6F8"/>
          </w:tcPr>
          <w:p>
            <w:pPr>
              <w:spacing w:after="0" w:before="0"/>
            </w:pPr>
            <w:r/>
            <w:r>
              <w:rPr>
                <w:rFonts w:ascii="Arial" w:hAnsi="Arial"/>
                <w:b w:val="0"/>
                <w:color w:val="222831"/>
                <w:sz w:val="18"/>
              </w:rPr>
              <w:t>Comprueba el PIN y renueva la sesión.</w:t>
            </w:r>
          </w:p>
        </w:tc>
        <w:tc>
          <w:tcPr>
            <w:tcW w:type="dxa" w:w="2304"/>
            <w:vAlign w:val="center"/>
            <w:shd w:fill="F3F6F8"/>
          </w:tcPr>
          <w:p>
            <w:pPr>
              <w:spacing w:after="0" w:before="0"/>
            </w:pPr>
            <w:r/>
            <w:r>
              <w:rPr>
                <w:rFonts w:ascii="Arial" w:hAnsi="Arial"/>
                <w:b w:val="0"/>
                <w:color w:val="222831"/>
                <w:sz w:val="18"/>
              </w:rPr>
              <w:t>Emite token aleatorio.</w:t>
            </w:r>
          </w:p>
        </w:tc>
      </w:tr>
      <w:tr>
        <w:trPr>
          <w:cantSplit/>
        </w:trPr>
        <w:tc>
          <w:tcPr>
            <w:tcW w:type="dxa" w:w="3096"/>
            <w:vAlign w:val="center"/>
          </w:tcPr>
          <w:p>
            <w:pPr>
              <w:spacing w:after="0" w:before="0"/>
            </w:pPr>
            <w:r/>
            <w:r>
              <w:rPr>
                <w:rFonts w:ascii="Arial" w:hAnsi="Arial"/>
                <w:b w:val="0"/>
                <w:color w:val="222831"/>
                <w:sz w:val="18"/>
              </w:rPr>
              <w:t>GET /api/progreso/{id}</w:t>
            </w:r>
          </w:p>
        </w:tc>
        <w:tc>
          <w:tcPr>
            <w:tcW w:type="dxa" w:w="4032"/>
            <w:vAlign w:val="center"/>
          </w:tcPr>
          <w:p>
            <w:pPr>
              <w:spacing w:after="0" w:before="0"/>
            </w:pPr>
            <w:r/>
            <w:r>
              <w:rPr>
                <w:rFonts w:ascii="Arial" w:hAnsi="Arial"/>
                <w:b w:val="0"/>
                <w:color w:val="222831"/>
                <w:sz w:val="18"/>
              </w:rPr>
              <w:t>Recupera el estado guardado.</w:t>
            </w:r>
          </w:p>
        </w:tc>
        <w:tc>
          <w:tcPr>
            <w:tcW w:type="dxa" w:w="2304"/>
            <w:vAlign w:val="center"/>
          </w:tcPr>
          <w:p>
            <w:pPr>
              <w:spacing w:after="0" w:before="0"/>
            </w:pPr>
            <w:r/>
            <w:r>
              <w:rPr>
                <w:rFonts w:ascii="Arial" w:hAnsi="Arial"/>
                <w:b w:val="0"/>
                <w:color w:val="222831"/>
                <w:sz w:val="18"/>
              </w:rPr>
              <w:t>Bearer token del mismo perfil.</w:t>
            </w:r>
          </w:p>
        </w:tc>
      </w:tr>
      <w:tr>
        <w:trPr>
          <w:cantSplit/>
        </w:trPr>
        <w:tc>
          <w:tcPr>
            <w:tcW w:type="dxa" w:w="3096"/>
            <w:vAlign w:val="center"/>
            <w:shd w:fill="F3F6F8"/>
          </w:tcPr>
          <w:p>
            <w:pPr>
              <w:spacing w:after="0" w:before="0"/>
            </w:pPr>
            <w:r/>
            <w:r>
              <w:rPr>
                <w:rFonts w:ascii="Arial" w:hAnsi="Arial"/>
                <w:b w:val="0"/>
                <w:color w:val="222831"/>
                <w:sz w:val="18"/>
              </w:rPr>
              <w:t>POST /api/progreso</w:t>
            </w:r>
          </w:p>
        </w:tc>
        <w:tc>
          <w:tcPr>
            <w:tcW w:type="dxa" w:w="4032"/>
            <w:vAlign w:val="center"/>
            <w:shd w:fill="F3F6F8"/>
          </w:tcPr>
          <w:p>
            <w:pPr>
              <w:spacing w:after="0" w:before="0"/>
            </w:pPr>
            <w:r/>
            <w:r>
              <w:rPr>
                <w:rFonts w:ascii="Arial" w:hAnsi="Arial"/>
                <w:b w:val="0"/>
                <w:color w:val="222831"/>
                <w:sz w:val="18"/>
              </w:rPr>
              <w:t>Valida y guarda el avance.</w:t>
            </w:r>
          </w:p>
        </w:tc>
        <w:tc>
          <w:tcPr>
            <w:tcW w:type="dxa" w:w="2304"/>
            <w:vAlign w:val="center"/>
            <w:shd w:fill="F3F6F8"/>
          </w:tcPr>
          <w:p>
            <w:pPr>
              <w:spacing w:after="0" w:before="0"/>
            </w:pPr>
            <w:r/>
            <w:r>
              <w:rPr>
                <w:rFonts w:ascii="Arial" w:hAnsi="Arial"/>
                <w:b w:val="0"/>
                <w:color w:val="222831"/>
                <w:sz w:val="18"/>
              </w:rPr>
              <w:t>Bearer token del mismo perfil.</w:t>
            </w:r>
          </w:p>
        </w:tc>
      </w:tr>
      <w:tr>
        <w:trPr>
          <w:cantSplit/>
        </w:trPr>
        <w:tc>
          <w:tcPr>
            <w:tcW w:type="dxa" w:w="3096"/>
            <w:vAlign w:val="center"/>
          </w:tcPr>
          <w:p>
            <w:pPr>
              <w:spacing w:after="0" w:before="0"/>
            </w:pPr>
            <w:r/>
            <w:r>
              <w:rPr>
                <w:rFonts w:ascii="Arial" w:hAnsi="Arial"/>
                <w:b w:val="0"/>
                <w:color w:val="222831"/>
                <w:sz w:val="18"/>
              </w:rPr>
              <w:t>POST /api/perfiles/{id}/eliminar</w:t>
            </w:r>
          </w:p>
        </w:tc>
        <w:tc>
          <w:tcPr>
            <w:tcW w:type="dxa" w:w="4032"/>
            <w:vAlign w:val="center"/>
          </w:tcPr>
          <w:p>
            <w:pPr>
              <w:spacing w:after="0" w:before="0"/>
            </w:pPr>
            <w:r/>
            <w:r>
              <w:rPr>
                <w:rFonts w:ascii="Arial" w:hAnsi="Arial"/>
                <w:b w:val="0"/>
                <w:color w:val="222831"/>
                <w:sz w:val="18"/>
              </w:rPr>
              <w:t>Elimina perfil y progreso asociado.</w:t>
            </w:r>
          </w:p>
        </w:tc>
        <w:tc>
          <w:tcPr>
            <w:tcW w:type="dxa" w:w="2304"/>
            <w:vAlign w:val="center"/>
          </w:tcPr>
          <w:p>
            <w:pPr>
              <w:spacing w:after="0" w:before="0"/>
            </w:pPr>
            <w:r/>
            <w:r>
              <w:rPr>
                <w:rFonts w:ascii="Arial" w:hAnsi="Arial"/>
                <w:b w:val="0"/>
                <w:color w:val="222831"/>
                <w:sz w:val="18"/>
              </w:rPr>
              <w:t>Requiere PIN.</w:t>
            </w:r>
          </w:p>
        </w:tc>
      </w:tr>
      <w:tr>
        <w:trPr>
          <w:cantSplit/>
        </w:trPr>
        <w:tc>
          <w:tcPr>
            <w:tcW w:type="dxa" w:w="3096"/>
            <w:vAlign w:val="center"/>
            <w:shd w:fill="F3F6F8"/>
          </w:tcPr>
          <w:p>
            <w:pPr>
              <w:spacing w:after="0" w:before="0"/>
            </w:pPr>
            <w:r/>
            <w:r>
              <w:rPr>
                <w:rFonts w:ascii="Arial" w:hAnsi="Arial"/>
                <w:b w:val="0"/>
                <w:color w:val="222831"/>
                <w:sz w:val="18"/>
              </w:rPr>
              <w:t>POST /api/progreso/{id}/reiniciar</w:t>
            </w:r>
          </w:p>
        </w:tc>
        <w:tc>
          <w:tcPr>
            <w:tcW w:type="dxa" w:w="4032"/>
            <w:vAlign w:val="center"/>
            <w:shd w:fill="F3F6F8"/>
          </w:tcPr>
          <w:p>
            <w:pPr>
              <w:spacing w:after="0" w:before="0"/>
            </w:pPr>
            <w:r/>
            <w:r>
              <w:rPr>
                <w:rFonts w:ascii="Arial" w:hAnsi="Arial"/>
                <w:b w:val="0"/>
                <w:color w:val="222831"/>
                <w:sz w:val="18"/>
              </w:rPr>
              <w:t>Reinicia la partida de un perfil.</w:t>
            </w:r>
          </w:p>
        </w:tc>
        <w:tc>
          <w:tcPr>
            <w:tcW w:type="dxa" w:w="2304"/>
            <w:vAlign w:val="center"/>
            <w:shd w:fill="F3F6F8"/>
          </w:tcPr>
          <w:p>
            <w:pPr>
              <w:spacing w:after="0" w:before="0"/>
            </w:pPr>
            <w:r/>
            <w:r>
              <w:rPr>
                <w:rFonts w:ascii="Arial" w:hAnsi="Arial"/>
                <w:b w:val="0"/>
                <w:color w:val="222831"/>
                <w:sz w:val="18"/>
              </w:rPr>
              <w:t>Token del perfil.</w:t>
            </w:r>
          </w:p>
        </w:tc>
      </w:tr>
    </w:tbl>
    <w:p>
      <w:pPr>
        <w:spacing w:after="20"/>
      </w:pPr>
    </w:p>
    <w:p>
      <w:r>
        <w:t>El estado guardado incluye nivel, cantidad e identificadores de memorias, checkpoint, finalización, salud, posición, misión y paso del rompecabezas. El cliente envía cambios al avanzar, recoger una memoria, recibir daño, activar un checkpoint, ordenar un pedestal o completar el altar; además ofrece guardado periódico y manual.</w:t>
      </w:r>
    </w:p>
    <w:p>
      <w:pPr>
        <w:pStyle w:val="Heading1"/>
      </w:pPr>
      <w:r>
        <w:t>5. Seguridad y privacidad</w:t>
      </w:r>
    </w:p>
    <w:p>
      <w:r>
        <w:t>La protección implementada es apropiada para una demostración académica local, no para un servicio público. El servidor deriva el PIN mediante PBKDF2-HMAC-SHA256 con sal aleatoria y 210 000 iteraciones; conserva el resultado derivado en vez del PIN en claro. Tras el acceso, entrega un token aleatorio; SQLite guarda el hash del token y las rutas de progreso verifican que corresponda al perfil solicitado.</w:t>
      </w:r>
    </w:p>
    <w:p>
      <w:pPr>
        <w:pStyle w:val="ListBullet"/>
        <w:spacing w:after="60"/>
        <w:ind w:left="346" w:hanging="173"/>
      </w:pPr>
      <w:r>
        <w:t>Las consultas SQLite usan parámetros en lugar de concatenar directamente valores del usuario.</w:t>
      </w:r>
    </w:p>
    <w:p>
      <w:pPr>
        <w:pStyle w:val="ListBullet"/>
        <w:spacing w:after="60"/>
        <w:ind w:left="346" w:hanging="173"/>
      </w:pPr>
      <w:r>
        <w:t>Los modelos de entrada restringen formato, longitudes y rangos de varios datos.</w:t>
      </w:r>
    </w:p>
    <w:p>
      <w:pPr>
        <w:pStyle w:val="ListBullet"/>
        <w:spacing w:after="60"/>
        <w:ind w:left="346" w:hanging="173"/>
      </w:pPr>
      <w:r>
        <w:t>La API comprueba que las memorias no se dupliquen, que los contadores coincidan y que el progreso no salte estados inválidos.</w:t>
      </w:r>
    </w:p>
    <w:p>
      <w:pPr>
        <w:pStyle w:val="ListBullet"/>
        <w:spacing w:after="60"/>
        <w:ind w:left="346" w:hanging="173"/>
      </w:pPr>
      <w:r>
        <w:t>Las pruebas documentadas cubren rechazo de PIN erróneo, autorización, aislamiento de perfiles, carga y guardado, checkpoint imposible, transición por niveles, rompecabezas y borrado en cascada.</w:t>
      </w:r>
    </w:p>
    <w:p>
      <w:pPr>
        <w:spacing w:before="80" w:after="160"/>
        <w:ind w:left="259" w:right="259"/>
      </w:pPr>
      <w:r>
        <w:rPr>
          <w:b/>
          <w:color w:val="B78936"/>
        </w:rPr>
        <w:t xml:space="preserve">Límites anotados en la revisión de seguridad. </w:t>
      </w:r>
      <w:r>
        <w:t>La conexión de demostración usa HTTP en localhost, no HTTPS; el paquete no demuestra límite de intentos para PIN ni controles de producción. La revisión también advierte que ciertos valores de salud y posición aún son propuestos por el cliente. No se debe exponer esta API directamente a Internet.</w:t>
      </w:r>
    </w:p>
    <w:p>
      <w:pPr>
        <w:pStyle w:val="Heading1"/>
      </w:pPr>
      <w:r>
        <w:t>6. Verificación y evidencias disponibles</w:t>
      </w:r>
    </w:p>
    <w:p>
      <w:r>
        <w:t>La documentación del paquete incluye un registro de validación fechado el 28 de septiembre de 2026. El resultado registrado para la suite del servidor es 12 pruebas aprobadas. Esta memoria cita ese registro; no presenta el resultado como una ejecución nueva realizada al redactarla.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232"/>
            <w:vAlign w:val="center"/>
            <w:shd w:fill="19324A"/>
          </w:tcPr>
          <w:p>
            <w:pPr>
              <w:spacing w:after="0" w:before="0"/>
            </w:pPr>
            <w:r/>
            <w:r>
              <w:rPr>
                <w:rFonts w:ascii="Arial" w:hAnsi="Arial"/>
                <w:b/>
                <w:color w:val="FFFFFF"/>
                <w:sz w:val="18"/>
              </w:rPr>
              <w:t>Evidencia registrada</w:t>
            </w:r>
          </w:p>
        </w:tc>
        <w:tc>
          <w:tcPr>
            <w:tcW w:type="dxa" w:w="3816"/>
            <w:vAlign w:val="center"/>
            <w:shd w:fill="19324A"/>
          </w:tcPr>
          <w:p>
            <w:pPr>
              <w:spacing w:after="0" w:before="0"/>
            </w:pPr>
            <w:r/>
            <w:r>
              <w:rPr>
                <w:rFonts w:ascii="Arial" w:hAnsi="Arial"/>
                <w:b/>
                <w:color w:val="FFFFFF"/>
                <w:sz w:val="18"/>
              </w:rPr>
              <w:t>Resultado anotado en el paquete</w:t>
            </w:r>
          </w:p>
        </w:tc>
        <w:tc>
          <w:tcPr>
            <w:tcW w:type="dxa" w:w="3384"/>
            <w:vAlign w:val="center"/>
            <w:shd w:fill="19324A"/>
          </w:tcPr>
          <w:p>
            <w:pPr>
              <w:spacing w:after="0" w:before="0"/>
            </w:pPr>
            <w:r/>
            <w:r>
              <w:rPr>
                <w:rFonts w:ascii="Arial" w:hAnsi="Arial"/>
                <w:b/>
                <w:color w:val="FFFFFF"/>
                <w:sz w:val="18"/>
              </w:rPr>
              <w:t>Límite de interpretación</w:t>
            </w:r>
          </w:p>
        </w:tc>
      </w:tr>
      <w:tr>
        <w:trPr>
          <w:cantSplit/>
        </w:trPr>
        <w:tc>
          <w:tcPr>
            <w:tcW w:type="dxa" w:w="2232"/>
            <w:vAlign w:val="center"/>
          </w:tcPr>
          <w:p>
            <w:pPr>
              <w:spacing w:after="0" w:before="0"/>
            </w:pPr>
            <w:r/>
            <w:r>
              <w:rPr>
                <w:rFonts w:ascii="Arial" w:hAnsi="Arial"/>
                <w:b w:val="0"/>
                <w:color w:val="222831"/>
                <w:sz w:val="18"/>
              </w:rPr>
              <w:t>Suite pytest del servidor</w:t>
            </w:r>
          </w:p>
        </w:tc>
        <w:tc>
          <w:tcPr>
            <w:tcW w:type="dxa" w:w="3816"/>
            <w:vAlign w:val="center"/>
          </w:tcPr>
          <w:p>
            <w:pPr>
              <w:spacing w:after="0" w:before="0"/>
            </w:pPr>
            <w:r/>
            <w:r>
              <w:rPr>
                <w:rFonts w:ascii="Arial" w:hAnsi="Arial"/>
                <w:b w:val="0"/>
                <w:color w:val="222831"/>
                <w:sz w:val="18"/>
              </w:rPr>
              <w:t>12 passed; pruebas sobre perfiles, PIN, sesiones, aislamiento, progreso, validación y reinicio.</w:t>
            </w:r>
          </w:p>
        </w:tc>
        <w:tc>
          <w:tcPr>
            <w:tcW w:type="dxa" w:w="3384"/>
            <w:vAlign w:val="center"/>
          </w:tcPr>
          <w:p>
            <w:pPr>
              <w:spacing w:after="0" w:before="0"/>
            </w:pPr>
            <w:r/>
            <w:r>
              <w:rPr>
                <w:rFonts w:ascii="Arial" w:hAnsi="Arial"/>
                <w:b w:val="0"/>
                <w:color w:val="222831"/>
                <w:sz w:val="18"/>
              </w:rPr>
              <w:t>Resultado histórico en docs/RESULTADOS_PRUEBAS.md.</w:t>
            </w:r>
          </w:p>
        </w:tc>
      </w:tr>
      <w:tr>
        <w:trPr>
          <w:cantSplit/>
        </w:trPr>
        <w:tc>
          <w:tcPr>
            <w:tcW w:type="dxa" w:w="2232"/>
            <w:vAlign w:val="center"/>
            <w:shd w:fill="F3F6F8"/>
          </w:tcPr>
          <w:p>
            <w:pPr>
              <w:spacing w:after="0" w:before="0"/>
            </w:pPr>
            <w:r/>
            <w:r>
              <w:rPr>
                <w:rFonts w:ascii="Arial" w:hAnsi="Arial"/>
                <w:b w:val="0"/>
                <w:color w:val="222831"/>
                <w:sz w:val="18"/>
              </w:rPr>
              <w:t>Integración HTTP</w:t>
            </w:r>
          </w:p>
        </w:tc>
        <w:tc>
          <w:tcPr>
            <w:tcW w:type="dxa" w:w="3816"/>
            <w:vAlign w:val="center"/>
            <w:shd w:fill="F3F6F8"/>
          </w:tcPr>
          <w:p>
            <w:pPr>
              <w:spacing w:after="0" w:before="0"/>
            </w:pPr>
            <w:r/>
            <w:r>
              <w:rPr>
                <w:rFonts w:ascii="Arial" w:hAnsi="Arial"/>
                <w:b w:val="0"/>
                <w:color w:val="222831"/>
                <w:sz w:val="18"/>
              </w:rPr>
              <w:t>GET estado 200; POST perfiles 201; GET progreso 200; POST progreso 200.</w:t>
            </w:r>
          </w:p>
        </w:tc>
        <w:tc>
          <w:tcPr>
            <w:tcW w:type="dxa" w:w="3384"/>
            <w:vAlign w:val="center"/>
            <w:shd w:fill="F3F6F8"/>
          </w:tcPr>
          <w:p>
            <w:pPr>
              <w:spacing w:after="0" w:before="0"/>
            </w:pPr>
            <w:r/>
            <w:r>
              <w:rPr>
                <w:rFonts w:ascii="Arial" w:hAnsi="Arial"/>
                <w:b w:val="0"/>
                <w:color w:val="222831"/>
                <w:sz w:val="18"/>
              </w:rPr>
              <w:t>La documentación registra una base temporal y peticiones curl.</w:t>
            </w:r>
          </w:p>
        </w:tc>
      </w:tr>
      <w:tr>
        <w:trPr>
          <w:cantSplit/>
        </w:trPr>
        <w:tc>
          <w:tcPr>
            <w:tcW w:type="dxa" w:w="2232"/>
            <w:vAlign w:val="center"/>
          </w:tcPr>
          <w:p>
            <w:pPr>
              <w:spacing w:after="0" w:before="0"/>
            </w:pPr>
            <w:r/>
            <w:r>
              <w:rPr>
                <w:rFonts w:ascii="Arial" w:hAnsi="Arial"/>
                <w:b w:val="0"/>
                <w:color w:val="222831"/>
                <w:sz w:val="18"/>
              </w:rPr>
              <w:t>Validación estática Godot</w:t>
            </w:r>
          </w:p>
        </w:tc>
        <w:tc>
          <w:tcPr>
            <w:tcW w:type="dxa" w:w="3816"/>
            <w:vAlign w:val="center"/>
          </w:tcPr>
          <w:p>
            <w:pPr>
              <w:spacing w:after="0" w:before="0"/>
            </w:pPr>
            <w:r/>
            <w:r>
              <w:rPr>
                <w:rFonts w:ascii="Arial" w:hAnsi="Arial"/>
                <w:b w:val="0"/>
                <w:color w:val="222831"/>
                <w:sz w:val="18"/>
              </w:rPr>
              <w:t>16 scripts con delimitadores balanceados y rutas res:// existentes.</w:t>
            </w:r>
          </w:p>
        </w:tc>
        <w:tc>
          <w:tcPr>
            <w:tcW w:type="dxa" w:w="3384"/>
            <w:vAlign w:val="center"/>
          </w:tcPr>
          <w:p>
            <w:pPr>
              <w:spacing w:after="0" w:before="0"/>
            </w:pPr>
            <w:r/>
            <w:r>
              <w:rPr>
                <w:rFonts w:ascii="Arial" w:hAnsi="Arial"/>
                <w:b w:val="0"/>
                <w:color w:val="222831"/>
                <w:sz w:val="18"/>
              </w:rPr>
              <w:t>No sustituye importar y ejecutar visualmente en Godot.</w:t>
            </w:r>
          </w:p>
        </w:tc>
      </w:tr>
      <w:tr>
        <w:trPr>
          <w:cantSplit/>
        </w:trPr>
        <w:tc>
          <w:tcPr>
            <w:tcW w:type="dxa" w:w="2232"/>
            <w:vAlign w:val="center"/>
            <w:shd w:fill="F3F6F8"/>
          </w:tcPr>
          <w:p>
            <w:pPr>
              <w:spacing w:after="0" w:before="0"/>
            </w:pPr>
            <w:r/>
            <w:r>
              <w:rPr>
                <w:rFonts w:ascii="Arial" w:hAnsi="Arial"/>
                <w:b w:val="0"/>
                <w:color w:val="222831"/>
                <w:sz w:val="18"/>
              </w:rPr>
              <w:t>Scripts Linux</w:t>
            </w:r>
          </w:p>
        </w:tc>
        <w:tc>
          <w:tcPr>
            <w:tcW w:type="dxa" w:w="3816"/>
            <w:vAlign w:val="center"/>
            <w:shd w:fill="F3F6F8"/>
          </w:tcPr>
          <w:p>
            <w:pPr>
              <w:spacing w:after="0" w:before="0"/>
            </w:pPr>
            <w:r/>
            <w:r>
              <w:rPr>
                <w:rFonts w:ascii="Arial" w:hAnsi="Arial"/>
                <w:b w:val="0"/>
                <w:color w:val="222831"/>
                <w:sz w:val="18"/>
              </w:rPr>
              <w:t>bash -n pasó para scripts del paquete.</w:t>
            </w:r>
          </w:p>
        </w:tc>
        <w:tc>
          <w:tcPr>
            <w:tcW w:type="dxa" w:w="3384"/>
            <w:vAlign w:val="center"/>
            <w:shd w:fill="F3F6F8"/>
          </w:tcPr>
          <w:p>
            <w:pPr>
              <w:spacing w:after="0" w:before="0"/>
            </w:pPr>
            <w:r/>
            <w:r>
              <w:rPr>
                <w:rFonts w:ascii="Arial" w:hAnsi="Arial"/>
                <w:b w:val="0"/>
                <w:color w:val="222831"/>
                <w:sz w:val="18"/>
              </w:rPr>
              <w:t>No verifica todos los entornos Linux.</w:t>
            </w:r>
          </w:p>
        </w:tc>
      </w:tr>
      <w:tr>
        <w:trPr>
          <w:cantSplit/>
        </w:trPr>
        <w:tc>
          <w:tcPr>
            <w:tcW w:type="dxa" w:w="2232"/>
            <w:vAlign w:val="center"/>
          </w:tcPr>
          <w:p>
            <w:pPr>
              <w:spacing w:after="0" w:before="0"/>
            </w:pPr>
            <w:r/>
            <w:r>
              <w:rPr>
                <w:rFonts w:ascii="Arial" w:hAnsi="Arial"/>
                <w:b w:val="0"/>
                <w:color w:val="222831"/>
                <w:sz w:val="18"/>
              </w:rPr>
              <w:t>Cliente/jugabilidad</w:t>
            </w:r>
          </w:p>
        </w:tc>
        <w:tc>
          <w:tcPr>
            <w:tcW w:type="dxa" w:w="3816"/>
            <w:vAlign w:val="center"/>
          </w:tcPr>
          <w:p>
            <w:pPr>
              <w:spacing w:after="0" w:before="0"/>
            </w:pPr>
            <w:r/>
            <w:r>
              <w:rPr>
                <w:rFonts w:ascii="Arial" w:hAnsi="Arial"/>
                <w:b w:val="0"/>
                <w:color w:val="222831"/>
                <w:sz w:val="18"/>
              </w:rPr>
              <w:t>Hay guía de demo final y video de gameplay en el paquete de entrega.</w:t>
            </w:r>
          </w:p>
        </w:tc>
        <w:tc>
          <w:tcPr>
            <w:tcW w:type="dxa" w:w="3384"/>
            <w:vAlign w:val="center"/>
          </w:tcPr>
          <w:p>
            <w:pPr>
              <w:spacing w:after="0" w:before="0"/>
            </w:pPr>
            <w:r/>
            <w:r>
              <w:rPr>
                <w:rFonts w:ascii="Arial" w:hAnsi="Arial"/>
                <w:b w:val="0"/>
                <w:color w:val="222831"/>
                <w:sz w:val="18"/>
              </w:rPr>
              <w:t>Una guía no equivale a una prueba de usuario independiente.</w:t>
            </w:r>
          </w:p>
        </w:tc>
      </w:tr>
    </w:tbl>
    <w:p>
      <w:pPr>
        <w:spacing w:after="20"/>
      </w:pPr>
    </w:p>
    <w:p>
      <w:r>
        <w:t>Los archivos que permiten revisar las afirmaciones son README.md, docs/RESULTADOS_PRUEBAS.md, docs/CONTRATO_API.md, docs/RECORRIDO_DEMO_FINAL.md, docs/DEFENSA_FINAL.md, docs/GDD_Kallami_v2.0_Semana_2.docx y los scripts del servidor y de Godot. Para una nueva defensa, se recomienda volver a ejecutar pytest y comprobar el flujo gráfico en el equipo que se utilizará.</w:t>
      </w:r>
    </w:p>
    <w:p>
      <w:pPr>
        <w:pStyle w:val="Heading1"/>
      </w:pPr>
      <w:r>
        <w:t>7. Puesta en marcha del paquete original</w:t>
      </w:r>
    </w:p>
    <w:p>
      <w:pPr>
        <w:pStyle w:val="ListNumber"/>
        <w:spacing w:after="60"/>
      </w:pPr>
      <w:r>
        <w:t>En Linux, instala Python 3, python3-venv y unzip; en Windows, instala Python 3.11 o superior y Godot 4.7.2.</w:t>
      </w:r>
    </w:p>
    <w:p>
      <w:pPr>
        <w:pStyle w:val="ListNumber"/>
        <w:spacing w:after="60"/>
      </w:pPr>
      <w:r>
        <w:t>Abre una terminal en la carpeta servidor y ejecuta iniciar_servidor.sh en Linux o iniciar_servidor_windows.bat en Windows. Mantén la ventana abierta.</w:t>
      </w:r>
    </w:p>
    <w:p>
      <w:pPr>
        <w:pStyle w:val="ListNumber"/>
        <w:spacing w:after="60"/>
      </w:pPr>
      <w:r>
        <w:t>En otra terminal, desde la raíz del proyecto, ejecuta iniciar_godot_linux.sh o iniciar_godot_windows.bat. También se puede importar cliente_godot/project.godot desde Godot.</w:t>
      </w:r>
    </w:p>
    <w:p>
      <w:pPr>
        <w:pStyle w:val="ListNumber"/>
        <w:spacing w:after="60"/>
      </w:pPr>
      <w:r>
        <w:t>Crea un perfil con nombre y PIN; juega y usa G para demostrar guardado. Cierra el juego, vuelve a entrar con el mismo perfil y observa la recuperación del avance.</w:t>
      </w:r>
    </w:p>
    <w:p>
      <w:pPr>
        <w:pStyle w:val="ListNumber"/>
        <w:spacing w:after="60"/>
      </w:pPr>
      <w:r>
        <w:t>Para revisar API, abre http://127.0.0.1:8000/api/estado o /docs mientras el servidor está activo.</w:t>
      </w:r>
    </w:p>
    <w:p>
      <w:pPr>
        <w:spacing w:before="80" w:after="160"/>
        <w:ind w:left="259" w:right="259"/>
      </w:pPr>
      <w:r>
        <w:rPr>
          <w:b/>
          <w:color w:val="B78936"/>
        </w:rPr>
        <w:t xml:space="preserve">Condición local. </w:t>
      </w:r>
      <w:r>
        <w:t>127.0.0.1 señala el mismo equipo. Para que un celular u otra computadora use la API haría falta configurar red y publicar el servicio; esa capacidad no forma parte del alcance de esta versión.</w:t>
      </w:r>
    </w:p>
    <w:p>
      <w:pPr>
        <w:pStyle w:val="Heading1"/>
      </w:pPr>
      <w:r>
        <w:t>8. Aportes por área</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3384"/>
            <w:vAlign w:val="center"/>
            <w:shd w:fill="19324A"/>
          </w:tcPr>
          <w:p>
            <w:pPr>
              <w:spacing w:after="0" w:before="0"/>
            </w:pPr>
            <w:r/>
            <w:r>
              <w:rPr>
                <w:rFonts w:ascii="Arial" w:hAnsi="Arial"/>
                <w:b/>
                <w:color w:val="FFFFFF"/>
                <w:sz w:val="18"/>
              </w:rPr>
              <w:t>Integrante y responsabilidad</w:t>
            </w:r>
          </w:p>
        </w:tc>
        <w:tc>
          <w:tcPr>
            <w:tcW w:type="dxa" w:w="6048"/>
            <w:vAlign w:val="center"/>
            <w:shd w:fill="19324A"/>
          </w:tcPr>
          <w:p>
            <w:pPr>
              <w:spacing w:after="0" w:before="0"/>
            </w:pPr>
            <w:r/>
            <w:r>
              <w:rPr>
                <w:rFonts w:ascii="Arial" w:hAnsi="Arial"/>
                <w:b/>
                <w:color w:val="FFFFFF"/>
                <w:sz w:val="18"/>
              </w:rPr>
              <w:t>Aporte documentado en la versión final</w:t>
            </w:r>
          </w:p>
        </w:tc>
      </w:tr>
      <w:tr>
        <w:trPr>
          <w:cantSplit/>
        </w:trPr>
        <w:tc>
          <w:tcPr>
            <w:tcW w:type="dxa" w:w="3384"/>
            <w:vAlign w:val="center"/>
          </w:tcPr>
          <w:p>
            <w:pPr>
              <w:spacing w:after="0" w:before="0"/>
            </w:pPr>
            <w:r/>
            <w:r>
              <w:rPr>
                <w:rFonts w:ascii="Arial" w:hAnsi="Arial"/>
                <w:b w:val="0"/>
                <w:color w:val="222831"/>
                <w:sz w:val="18"/>
              </w:rPr>
              <w:t>Brayan Quispe Mamani · cliente y gameplay</w:t>
            </w:r>
          </w:p>
        </w:tc>
        <w:tc>
          <w:tcPr>
            <w:tcW w:type="dxa" w:w="6048"/>
            <w:vAlign w:val="center"/>
          </w:tcPr>
          <w:p>
            <w:pPr>
              <w:spacing w:after="0" w:before="0"/>
            </w:pPr>
            <w:r/>
            <w:r>
              <w:rPr>
                <w:rFonts w:ascii="Arial" w:hAnsi="Arial"/>
                <w:b w:val="0"/>
                <w:color w:val="222831"/>
                <w:sz w:val="18"/>
              </w:rPr>
              <w:t>Proyecto Godot, escenas y sistemas jugables, interacción, HUD, combate, audio e integración cliente-servidor.</w:t>
            </w:r>
          </w:p>
        </w:tc>
      </w:tr>
      <w:tr>
        <w:trPr>
          <w:cantSplit/>
        </w:trPr>
        <w:tc>
          <w:tcPr>
            <w:tcW w:type="dxa" w:w="3384"/>
            <w:vAlign w:val="center"/>
            <w:shd w:fill="F3F6F8"/>
          </w:tcPr>
          <w:p>
            <w:pPr>
              <w:spacing w:after="0" w:before="0"/>
            </w:pPr>
            <w:r/>
            <w:r>
              <w:rPr>
                <w:rFonts w:ascii="Arial" w:hAnsi="Arial"/>
                <w:b w:val="0"/>
                <w:color w:val="222831"/>
                <w:sz w:val="18"/>
              </w:rPr>
              <w:t>Douglas Israel Roman Quispe · servidor y datos</w:t>
            </w:r>
          </w:p>
        </w:tc>
        <w:tc>
          <w:tcPr>
            <w:tcW w:type="dxa" w:w="6048"/>
            <w:vAlign w:val="center"/>
            <w:shd w:fill="F3F6F8"/>
          </w:tcPr>
          <w:p>
            <w:pPr>
              <w:spacing w:after="0" w:before="0"/>
            </w:pPr>
            <w:r/>
            <w:r>
              <w:rPr>
                <w:rFonts w:ascii="Arial" w:hAnsi="Arial"/>
                <w:b w:val="0"/>
                <w:color w:val="222831"/>
                <w:sz w:val="18"/>
              </w:rPr>
              <w:t>API FastAPI, contrato HTTP/JSON, autenticación por PIN/token, almacenamiento SQLite y persistencia.</w:t>
            </w:r>
          </w:p>
        </w:tc>
      </w:tr>
      <w:tr>
        <w:trPr>
          <w:cantSplit/>
        </w:trPr>
        <w:tc>
          <w:tcPr>
            <w:tcW w:type="dxa" w:w="3384"/>
            <w:vAlign w:val="center"/>
          </w:tcPr>
          <w:p>
            <w:pPr>
              <w:spacing w:after="0" w:before="0"/>
            </w:pPr>
            <w:r/>
            <w:r>
              <w:rPr>
                <w:rFonts w:ascii="Arial" w:hAnsi="Arial"/>
                <w:b w:val="0"/>
                <w:color w:val="222831"/>
                <w:sz w:val="18"/>
              </w:rPr>
              <w:t>Eduardo Ricardo Condori Mamani · pruebas y Seguridad de la Información</w:t>
            </w:r>
          </w:p>
        </w:tc>
        <w:tc>
          <w:tcPr>
            <w:tcW w:type="dxa" w:w="6048"/>
            <w:vAlign w:val="center"/>
          </w:tcPr>
          <w:p>
            <w:pPr>
              <w:spacing w:after="0" w:before="0"/>
            </w:pPr>
            <w:r/>
            <w:r>
              <w:rPr>
                <w:rFonts w:ascii="Arial" w:hAnsi="Arial"/>
                <w:b w:val="0"/>
                <w:color w:val="222831"/>
                <w:sz w:val="18"/>
              </w:rPr>
              <w:t>Revisión de seguridad, diseño/ejecución documentada de pruebas y registro de riesgos y límites.</w:t>
            </w:r>
          </w:p>
        </w:tc>
      </w:tr>
    </w:tbl>
    <w:p>
      <w:pPr>
        <w:spacing w:after="20"/>
      </w:pPr>
    </w:p>
    <w:p>
      <w:pPr>
        <w:pStyle w:val="Heading1"/>
      </w:pPr>
      <w:r>
        <w:t>9. Cambios frente al diseño de Semana 1</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3672"/>
            <w:vAlign w:val="center"/>
            <w:shd w:fill="19324A"/>
          </w:tcPr>
          <w:p>
            <w:pPr>
              <w:spacing w:after="0" w:before="0"/>
            </w:pPr>
            <w:r/>
            <w:r>
              <w:rPr>
                <w:rFonts w:ascii="Arial" w:hAnsi="Arial"/>
                <w:b/>
                <w:color w:val="FFFFFF"/>
                <w:sz w:val="18"/>
              </w:rPr>
              <w:t>Diseño inicial</w:t>
            </w:r>
          </w:p>
        </w:tc>
        <w:tc>
          <w:tcPr>
            <w:tcW w:type="dxa" w:w="5760"/>
            <w:vAlign w:val="center"/>
            <w:shd w:fill="19324A"/>
          </w:tcPr>
          <w:p>
            <w:pPr>
              <w:spacing w:after="0" w:before="0"/>
            </w:pPr>
            <w:r/>
            <w:r>
              <w:rPr>
                <w:rFonts w:ascii="Arial" w:hAnsi="Arial"/>
                <w:b/>
                <w:color w:val="FFFFFF"/>
                <w:sz w:val="18"/>
              </w:rPr>
              <w:t>Versión final documentada</w:t>
            </w:r>
          </w:p>
        </w:tc>
      </w:tr>
      <w:tr>
        <w:trPr>
          <w:cantSplit/>
        </w:trPr>
        <w:tc>
          <w:tcPr>
            <w:tcW w:type="dxa" w:w="3672"/>
            <w:vAlign w:val="center"/>
          </w:tcPr>
          <w:p>
            <w:pPr>
              <w:spacing w:after="0" w:before="0"/>
            </w:pPr>
            <w:r/>
            <w:r>
              <w:rPr>
                <w:rFonts w:ascii="Arial" w:hAnsi="Arial"/>
                <w:b w:val="0"/>
                <w:color w:val="222831"/>
                <w:sz w:val="18"/>
              </w:rPr>
              <w:t>Título de trabajo “Cerro Kallami: El secreto de la plata”.</w:t>
            </w:r>
          </w:p>
        </w:tc>
        <w:tc>
          <w:tcPr>
            <w:tcW w:type="dxa" w:w="5760"/>
            <w:vAlign w:val="center"/>
          </w:tcPr>
          <w:p>
            <w:pPr>
              <w:spacing w:after="0" w:before="0"/>
            </w:pPr>
            <w:r/>
            <w:r>
              <w:rPr>
                <w:rFonts w:ascii="Arial" w:hAnsi="Arial"/>
                <w:b w:val="0"/>
                <w:color w:val="222831"/>
                <w:sz w:val="18"/>
              </w:rPr>
              <w:t>Título consolidado: “Kallami: Senderos de plata”.</w:t>
            </w:r>
          </w:p>
        </w:tc>
      </w:tr>
      <w:tr>
        <w:trPr>
          <w:cantSplit/>
        </w:trPr>
        <w:tc>
          <w:tcPr>
            <w:tcW w:type="dxa" w:w="3672"/>
            <w:vAlign w:val="center"/>
            <w:shd w:fill="F3F6F8"/>
          </w:tcPr>
          <w:p>
            <w:pPr>
              <w:spacing w:after="0" w:before="0"/>
            </w:pPr>
            <w:r/>
            <w:r>
              <w:rPr>
                <w:rFonts w:ascii="Arial" w:hAnsi="Arial"/>
                <w:b w:val="0"/>
                <w:color w:val="222831"/>
                <w:sz w:val="18"/>
              </w:rPr>
              <w:t>Tres mecánicas: explorar, interactuar y reunir pistas; combate no era el núcleo inicial.</w:t>
            </w:r>
          </w:p>
        </w:tc>
        <w:tc>
          <w:tcPr>
            <w:tcW w:type="dxa" w:w="5760"/>
            <w:vAlign w:val="center"/>
            <w:shd w:fill="F3F6F8"/>
          </w:tcPr>
          <w:p>
            <w:pPr>
              <w:spacing w:after="0" w:before="0"/>
            </w:pPr>
            <w:r/>
            <w:r>
              <w:rPr>
                <w:rFonts w:ascii="Arial" w:hAnsi="Arial"/>
                <w:b w:val="0"/>
                <w:color w:val="222831"/>
                <w:sz w:val="18"/>
              </w:rPr>
              <w:t>Se añadió honda cargable, esquiva, varias clases de sombras y guardianes.</w:t>
            </w:r>
          </w:p>
        </w:tc>
      </w:tr>
      <w:tr>
        <w:trPr>
          <w:cantSplit/>
        </w:trPr>
        <w:tc>
          <w:tcPr>
            <w:tcW w:type="dxa" w:w="3672"/>
            <w:vAlign w:val="center"/>
          </w:tcPr>
          <w:p>
            <w:pPr>
              <w:spacing w:after="0" w:before="0"/>
            </w:pPr>
            <w:r/>
            <w:r>
              <w:rPr>
                <w:rFonts w:ascii="Arial" w:hAnsi="Arial"/>
                <w:b w:val="0"/>
                <w:color w:val="222831"/>
                <w:sz w:val="18"/>
              </w:rPr>
              <w:t>Tres pistas y decisión final descrita como interpretación/selección.</w:t>
            </w:r>
          </w:p>
        </w:tc>
        <w:tc>
          <w:tcPr>
            <w:tcW w:type="dxa" w:w="5760"/>
            <w:vAlign w:val="center"/>
          </w:tcPr>
          <w:p>
            <w:pPr>
              <w:spacing w:after="0" w:before="0"/>
            </w:pPr>
            <w:r/>
            <w:r>
              <w:rPr>
                <w:rFonts w:ascii="Arial" w:hAnsi="Arial"/>
                <w:b w:val="0"/>
                <w:color w:val="222831"/>
                <w:sz w:val="18"/>
              </w:rPr>
              <w:t>Tres memorias, pedestales narrativos, derrumbe y llegada al altar.</w:t>
            </w:r>
          </w:p>
        </w:tc>
      </w:tr>
      <w:tr>
        <w:trPr>
          <w:cantSplit/>
        </w:trPr>
        <w:tc>
          <w:tcPr>
            <w:tcW w:type="dxa" w:w="3672"/>
            <w:vAlign w:val="center"/>
            <w:shd w:fill="F3F6F8"/>
          </w:tcPr>
          <w:p>
            <w:pPr>
              <w:spacing w:after="0" w:before="0"/>
            </w:pPr>
            <w:r/>
            <w:r>
              <w:rPr>
                <w:rFonts w:ascii="Arial" w:hAnsi="Arial"/>
                <w:b w:val="0"/>
                <w:color w:val="222831"/>
                <w:sz w:val="18"/>
              </w:rPr>
              <w:t>Personajes y final todavía provisionales.</w:t>
            </w:r>
          </w:p>
        </w:tc>
        <w:tc>
          <w:tcPr>
            <w:tcW w:type="dxa" w:w="5760"/>
            <w:vAlign w:val="center"/>
            <w:shd w:fill="F3F6F8"/>
          </w:tcPr>
          <w:p>
            <w:pPr>
              <w:spacing w:after="0" w:before="0"/>
            </w:pPr>
            <w:r/>
            <w:r>
              <w:rPr>
                <w:rFonts w:ascii="Arial" w:hAnsi="Arial"/>
                <w:b w:val="0"/>
                <w:color w:val="222831"/>
                <w:sz w:val="18"/>
              </w:rPr>
              <w:t>Juan Huanca y Florencio Mamani se usan como personajes ficticios de la adaptación; hay diálogo final.</w:t>
            </w:r>
          </w:p>
        </w:tc>
      </w:tr>
      <w:tr>
        <w:trPr>
          <w:cantSplit/>
        </w:trPr>
        <w:tc>
          <w:tcPr>
            <w:tcW w:type="dxa" w:w="3672"/>
            <w:vAlign w:val="center"/>
          </w:tcPr>
          <w:p>
            <w:pPr>
              <w:spacing w:after="0" w:before="0"/>
            </w:pPr>
            <w:r/>
            <w:r>
              <w:rPr>
                <w:rFonts w:ascii="Arial" w:hAnsi="Arial"/>
                <w:b w:val="0"/>
                <w:color w:val="222831"/>
                <w:sz w:val="18"/>
              </w:rPr>
              <w:t>Persistencia e integración debían confirmarse al inicio.</w:t>
            </w:r>
          </w:p>
        </w:tc>
        <w:tc>
          <w:tcPr>
            <w:tcW w:type="dxa" w:w="5760"/>
            <w:vAlign w:val="center"/>
          </w:tcPr>
          <w:p>
            <w:pPr>
              <w:spacing w:after="0" w:before="0"/>
            </w:pPr>
            <w:r/>
            <w:r>
              <w:rPr>
                <w:rFonts w:ascii="Arial" w:hAnsi="Arial"/>
                <w:b w:val="0"/>
                <w:color w:val="222831"/>
                <w:sz w:val="18"/>
              </w:rPr>
              <w:t>El paquete final contiene cliente-servidor local, perfiles, PIN, token, SQLite y recuperación.</w:t>
            </w:r>
          </w:p>
        </w:tc>
      </w:tr>
      <w:tr>
        <w:trPr>
          <w:cantSplit/>
        </w:trPr>
        <w:tc>
          <w:tcPr>
            <w:tcW w:type="dxa" w:w="3672"/>
            <w:vAlign w:val="center"/>
            <w:shd w:fill="F3F6F8"/>
          </w:tcPr>
          <w:p>
            <w:pPr>
              <w:spacing w:after="0" w:before="0"/>
            </w:pPr>
            <w:r/>
            <w:r>
              <w:rPr>
                <w:rFonts w:ascii="Arial" w:hAnsi="Arial"/>
                <w:b w:val="0"/>
                <w:color w:val="222831"/>
                <w:sz w:val="18"/>
              </w:rPr>
              <w:t>Arte, sonido, menú y navegación en planificación.</w:t>
            </w:r>
          </w:p>
        </w:tc>
        <w:tc>
          <w:tcPr>
            <w:tcW w:type="dxa" w:w="5760"/>
            <w:vAlign w:val="center"/>
            <w:shd w:fill="F3F6F8"/>
          </w:tcPr>
          <w:p>
            <w:pPr>
              <w:spacing w:after="0" w:before="0"/>
            </w:pPr>
            <w:r/>
            <w:r>
              <w:rPr>
                <w:rFonts w:ascii="Arial" w:hAnsi="Arial"/>
                <w:b w:val="0"/>
                <w:color w:val="222831"/>
                <w:sz w:val="18"/>
              </w:rPr>
              <w:t>Mapa ampliado, fog of war, minimapa, audio reactivo, voces sintetizadas, pausa, pantalla completa y cambio de perfil.</w:t>
            </w:r>
          </w:p>
        </w:tc>
      </w:tr>
    </w:tbl>
    <w:p>
      <w:pPr>
        <w:spacing w:after="20"/>
      </w:pPr>
    </w:p>
    <w:p>
      <w:r>
        <w:t>La evolución no borra la versión inicial: el GDD de Semana 1 conserva valor como registro de intención. La memoria y el GDD final describen el estado posterior y anotan qué decisiones se ampliaron o sustituyeron.</w:t>
      </w:r>
    </w:p>
    <w:p>
      <w:pPr>
        <w:pStyle w:val="Heading1"/>
      </w:pPr>
      <w:r>
        <w:t>10. Límites, cierre y siguientes pasos</w:t>
      </w:r>
    </w:p>
    <w:p>
      <w:r>
        <w:t>Kallami alcanza un recorrido con principio, exploración, progresión, desafío y cierre, acompañado por un servicio de perfiles local. La persistencia y la separación de datos por perfil dan una evidencia técnica útil para la presentación; las pruebas automatizadas documentadas respaldan parte de la lógica del servidor.</w:t>
      </w:r>
    </w:p>
    <w:p>
      <w:r>
        <w:t>Los siguientes pasos razonables son repetir la validación en la computadora de exposición, conservar capturas de pytest y del flujo guardar/cargar, probar controles y pantalla completa con una persona ajena al equipo, y mantener separados el paquete con servidor y la variante web local. Una publicación remota requeriría HTTPS, control de intentos, gestión de credenciales, copias de seguridad y evaluación de privacidad adicionales.</w:t>
      </w:r>
    </w:p>
    <w:p>
      <w:pPr>
        <w:pStyle w:val="Heading1"/>
      </w:pPr>
      <w:r>
        <w:t>Fuentes del proyecto consultadas</w:t>
      </w:r>
    </w:p>
    <w:p>
      <w:pPr>
        <w:pStyle w:val="ListBullet"/>
        <w:spacing w:after="60"/>
        <w:ind w:left="346" w:hanging="173"/>
      </w:pPr>
      <w:r>
        <w:t>Paquete final Kallami_Final_v1.0_Gameplay.zip: README.md y scripts de cliente y servidor.</w:t>
      </w:r>
    </w:p>
    <w:p>
      <w:pPr>
        <w:pStyle w:val="ListBullet"/>
        <w:spacing w:after="60"/>
        <w:ind w:left="346" w:hanging="173"/>
      </w:pPr>
      <w:r>
        <w:t>docs/GDD_Kallami_v2.0_Semana_2.docx y docs/GDD_v2.0_fuente.md incluidos en el paquete final.</w:t>
      </w:r>
    </w:p>
    <w:p>
      <w:pPr>
        <w:pStyle w:val="ListBullet"/>
        <w:spacing w:after="60"/>
        <w:ind w:left="346" w:hanging="173"/>
      </w:pPr>
      <w:r>
        <w:t>docs/CONTRATO_API.md; docs/RESULTADOS_PRUEBAS.md; docs/RECORRIDO_DEMO_FINAL.md; docs/DEFENSA_FINAL.md; docs/LICENCIAS_Y_RECURSOS.md.</w:t>
      </w:r>
    </w:p>
    <w:p>
      <w:pPr>
        <w:pStyle w:val="ListBullet"/>
        <w:spacing w:after="60"/>
        <w:ind w:left="346" w:hanging="173"/>
      </w:pPr>
      <w:r>
        <w:t>GDD_Grupal_Kallami_v1.1_Semana_1.docx y Memoria_Interna_Cambios_GDD_Kallami.docx disponibles en los materiales del equipo.</w:t>
      </w:r>
    </w:p>
    <w:p>
      <w:pPr>
        <w:pStyle w:val="ListBullet"/>
        <w:spacing w:after="60"/>
        <w:ind w:left="346" w:hanging="173"/>
      </w:pPr>
      <w:r>
        <w:t>Informe_Final_Seguridad_Informacion_Kallami.docx y pruebas_seguridad_kallami_final.py disponibles en el material de entrega.</w:t>
      </w:r>
    </w:p>
    <w:sectPr w:rsidR="00FC693F" w:rsidRPr="0006063C" w:rsidSect="00034616">
      <w:headerReference w:type="default" r:id="rId9"/>
      <w:footerReference w:type="default" r:id="rId10"/>
      <w:pgSz w:w="12240" w:h="15840"/>
      <w:pgMar w:top="1037" w:right="1152" w:bottom="979" w:left="1152"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86574"/>
        <w:sz w:val="16"/>
      </w:rPr>
      <w:t xml:space="preserve">Taller de Proyecto INF-266  ·  UMSA  ·  Página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86574"/>
        <w:sz w:val="16"/>
      </w:rPr>
      <w:t>KALLAMI  /  MEMORIA FINAL DEL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2283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9324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9324A"/>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B7893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22283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00"/>
    </w:pPr>
    <w:rPr>
      <w:rFonts w:asciiTheme="majorHAnsi" w:eastAsiaTheme="majorEastAsia" w:hAnsiTheme="majorHAnsi" w:cstheme="majorBidi" w:ascii="Arial" w:hAnsi="Arial"/>
      <w:b w:val="0"/>
      <w:i/>
      <w:iCs/>
      <w:color w:val="58657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