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i w:val="0"/>
          <w:color w:val="2E5D7B"/>
          <w:sz w:val="22"/>
        </w:rPr>
        <w:t>MEMORIA INTERNA</w:t>
      </w:r>
    </w:p>
    <w:p>
      <w:pPr>
        <w:spacing w:after="80"/>
      </w:pPr>
      <w:r>
        <w:rPr>
          <w:rFonts w:ascii="Calibri" w:hAnsi="Calibri"/>
          <w:b/>
          <w:i w:val="0"/>
          <w:color w:val="17324D"/>
          <w:sz w:val="52"/>
        </w:rPr>
        <w:t>Cambios y adiciones del GDD grupal</w:t>
      </w:r>
    </w:p>
    <w:p>
      <w:pPr>
        <w:spacing w:after="360"/>
      </w:pPr>
      <w:r>
        <w:rPr>
          <w:rFonts w:ascii="Calibri" w:hAnsi="Calibri"/>
          <w:b w:val="0"/>
          <w:i/>
          <w:color w:val="8B5E3C"/>
          <w:sz w:val="30"/>
        </w:rPr>
        <w:t>Kallami: Senderos de plata</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2340"/>
        <w:gridCol w:w="7020"/>
      </w:tblGrid>
      <w:tr>
        <w:trPr>
          <w:tblHeader w:val="true"/>
          <w:cantSplit/>
        </w:trPr>
        <w:tc>
          <w:tcPr>
            <w:tcW w:type="dxa" w:w="234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8"/>
              </w:rPr>
              <w:t>Dato</w:t>
            </w:r>
          </w:p>
        </w:tc>
        <w:tc>
          <w:tcPr>
            <w:tcW w:type="dxa" w:w="702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8"/>
              </w:rPr>
              <w:t>Información</w:t>
            </w:r>
          </w:p>
        </w:tc>
      </w:tr>
      <w:tr>
        <w:trPr>
          <w:cantSplit/>
        </w:trPr>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Dirigido a</w:t>
            </w:r>
          </w:p>
        </w:tc>
        <w:tc>
          <w:tcPr>
            <w:tcW w:type="dxa" w:w="702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Brayan Quispe Mamani, Douglas Israel Roman Quispe y Eduardo Ricardo Condori Mamani</w:t>
            </w:r>
          </w:p>
        </w:tc>
      </w:tr>
      <w:tr>
        <w:trPr>
          <w:cantSplit/>
        </w:trPr>
        <w:tc>
          <w:tcPr>
            <w:tcW w:type="dxa" w:w="234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8"/>
              </w:rPr>
              <w:t>Asignatura</w:t>
            </w:r>
          </w:p>
        </w:tc>
        <w:tc>
          <w:tcPr>
            <w:tcW w:type="dxa" w:w="702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8"/>
              </w:rPr>
              <w:t>Taller de Proyecto INF-266</w:t>
            </w:r>
          </w:p>
        </w:tc>
      </w:tr>
      <w:tr>
        <w:trPr>
          <w:cantSplit/>
        </w:trPr>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Documento relacionado</w:t>
            </w:r>
          </w:p>
        </w:tc>
        <w:tc>
          <w:tcPr>
            <w:tcW w:type="dxa" w:w="702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GDD grupal v1.0 - Opción B - Semana 1</w:t>
            </w:r>
          </w:p>
        </w:tc>
      </w:tr>
      <w:tr>
        <w:trPr>
          <w:cantSplit/>
        </w:trPr>
        <w:tc>
          <w:tcPr>
            <w:tcW w:type="dxa" w:w="234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8"/>
              </w:rPr>
              <w:t>Fecha</w:t>
            </w:r>
          </w:p>
        </w:tc>
        <w:tc>
          <w:tcPr>
            <w:tcW w:type="dxa" w:w="702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8"/>
              </w:rPr>
              <w:t>5 de septiembre de 2026</w:t>
            </w:r>
          </w:p>
        </w:tc>
      </w:tr>
      <w:tr>
        <w:trPr>
          <w:cantSplit/>
        </w:trPr>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Uso</w:t>
            </w:r>
          </w:p>
        </w:tc>
        <w:tc>
          <w:tcPr>
            <w:tcW w:type="dxa" w:w="702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8"/>
              </w:rPr>
              <w:t>Coordinación interna del Equipo Kallami</w:t>
            </w:r>
          </w:p>
        </w:tc>
      </w:tr>
    </w:tbl>
    <w:p>
      <w:pPr>
        <w:spacing w:after="0"/>
      </w:pPr>
    </w:p>
    <w:tbl>
      <w:tblPr>
        <w:tblW w:type="dxa" w:w="9360"/>
        <w:jc w:val="left"/>
        <w:tblLayout w:type="fixed"/>
        <w:tblLook w:firstColumn="1" w:firstRow="1" w:lastColumn="0" w:lastRow="0" w:noHBand="0" w:noVBand="1" w:val="04A0"/>
        <w:tblInd w:type="dxa" w:w="12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c>
          <w:tcPr>
            <w:tcW w:type="dxa" w:w="9360"/>
            <w:tcMar>
              <w:top w:w="120" w:type="dxa"/>
              <w:bottom w:w="120" w:type="dxa"/>
              <w:start w:w="120" w:type="dxa"/>
              <w:end w:w="120" w:type="dxa"/>
            </w:tcMar>
            <w:shd w:fill="EADCC7"/>
          </w:tcPr>
          <w:p>
            <w:pPr>
              <w:spacing w:after="0"/>
            </w:pPr>
            <w:r>
              <w:rPr>
                <w:rFonts w:ascii="Calibri" w:hAnsi="Calibri"/>
                <w:b/>
                <w:i w:val="0"/>
                <w:color w:val="17324D"/>
                <w:sz w:val="20"/>
              </w:rPr>
              <w:t xml:space="preserve">Uso restringido: </w:t>
            </w:r>
            <w:r>
              <w:rPr>
                <w:rFonts w:ascii="Calibri" w:hAnsi="Calibri"/>
                <w:b w:val="0"/>
                <w:i w:val="0"/>
                <w:color w:val="222222"/>
                <w:sz w:val="20"/>
              </w:rPr>
              <w:t>Este documento explica decisiones y cambios para facilitar la coordinación del grupo. No forma parte de los entregables para la docente.</w:t>
            </w:r>
          </w:p>
        </w:tc>
      </w:tr>
    </w:tbl>
    <w:p>
      <w:pPr>
        <w:spacing w:after="0"/>
      </w:pPr>
    </w:p>
    <w:p>
      <w:pPr>
        <w:pStyle w:val="Heading1"/>
      </w:pPr>
      <w:r>
        <w:t>1. Propósito</w:t>
      </w:r>
    </w:p>
    <w:p>
      <w:r>
        <w:t>Esta memoria registra cómo se transformaron las propuestas individuales de la opción A en una propuesta nueva para la opción B. No describe una unión automática de documentos. Cada idea fue revisada según el relato de referencia, los requisitos de la Semana 1, la distribución de roles y la posibilidad real de construir el prototipo en cuatro semanas.</w:t>
      </w:r>
    </w:p>
    <w:p>
      <w:r>
        <w:t>El objetivo interno es que los integrantes comprendan qué decisiones ya están cerradas, por qué se modificaron otras y qué acciones deben realizarse antes del Alpha.</w:t>
      </w:r>
    </w:p>
    <w:p>
      <w:pPr>
        <w:pStyle w:val="Heading1"/>
      </w:pPr>
      <w:r>
        <w:t>2. Criterio utilizado para revisar las propuestas</w:t>
      </w:r>
    </w:p>
    <w:p>
      <w:pPr>
        <w:pStyle w:val="ListBullet"/>
      </w:pPr>
      <w:r>
        <w:rPr>
          <w:rFonts w:ascii="Calibri" w:hAnsi="Calibri"/>
          <w:b w:val="0"/>
          <w:i w:val="0"/>
          <w:color w:val="222222"/>
          <w:sz w:val="21"/>
        </w:rPr>
        <w:t>Mantener como prioridad el relato oral del Cerro Kallami y no completar vacíos culturales con datos inventados.</w:t>
      </w:r>
    </w:p>
    <w:p>
      <w:pPr>
        <w:pStyle w:val="ListBullet"/>
      </w:pPr>
      <w:r>
        <w:rPr>
          <w:rFonts w:ascii="Calibri" w:hAnsi="Calibri"/>
          <w:b w:val="0"/>
          <w:i w:val="0"/>
          <w:color w:val="222222"/>
          <w:sz w:val="21"/>
        </w:rPr>
        <w:t>Diseñar un juego pequeño, coherente y demostrable en cuatro semanas.</w:t>
      </w:r>
    </w:p>
    <w:p>
      <w:pPr>
        <w:pStyle w:val="ListBullet"/>
      </w:pPr>
      <w:r>
        <w:rPr>
          <w:rFonts w:ascii="Calibri" w:hAnsi="Calibri"/>
          <w:b w:val="0"/>
          <w:i w:val="0"/>
          <w:color w:val="222222"/>
          <w:sz w:val="21"/>
        </w:rPr>
        <w:t>Conservar solamente las ideas que aportan a la narrativa, al core gameplay loop o a la viabilidad técnica.</w:t>
      </w:r>
    </w:p>
    <w:p>
      <w:pPr>
        <w:pStyle w:val="ListBullet"/>
      </w:pPr>
      <w:r>
        <w:rPr>
          <w:rFonts w:ascii="Calibri" w:hAnsi="Calibri"/>
          <w:b w:val="0"/>
          <w:i w:val="0"/>
          <w:color w:val="222222"/>
          <w:sz w:val="21"/>
        </w:rPr>
        <w:t>Separar la jugabilidad y el cliente, el servidor y los apoyos transversales sin duplicar funciones.</w:t>
      </w:r>
    </w:p>
    <w:p>
      <w:pPr>
        <w:pStyle w:val="ListBullet"/>
      </w:pPr>
      <w:r>
        <w:rPr>
          <w:rFonts w:ascii="Calibri" w:hAnsi="Calibri"/>
          <w:b w:val="0"/>
          <w:i w:val="0"/>
          <w:color w:val="222222"/>
          <w:sz w:val="21"/>
        </w:rPr>
        <w:t>Tratar el GDD como documento vivo y registrar las decisiones entre versiones.</w:t>
      </w:r>
    </w:p>
    <w:p>
      <w:pPr>
        <w:pStyle w:val="Heading1"/>
      </w:pPr>
      <w:r>
        <w:t>3. Decisiones generales adoptadas</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1872"/>
        <w:gridCol w:w="3182"/>
        <w:gridCol w:w="4306"/>
      </w:tblGrid>
      <w:tr>
        <w:trPr>
          <w:tblHeader w:val="true"/>
          <w:cantSplit/>
        </w:trPr>
        <w:tc>
          <w:tcPr>
            <w:tcW w:type="dxa" w:w="187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Decisión</w:t>
            </w:r>
          </w:p>
        </w:tc>
        <w:tc>
          <w:tcPr>
            <w:tcW w:type="dxa" w:w="318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Resultado aprobado</w:t>
            </w:r>
          </w:p>
        </w:tc>
        <w:tc>
          <w:tcPr>
            <w:tcW w:type="dxa" w:w="4306"/>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Razón</w:t>
            </w:r>
          </w:p>
        </w:tc>
      </w:tr>
      <w:tr>
        <w:trPr>
          <w:cantSplit/>
        </w:trPr>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Modalidad</w:t>
            </w:r>
          </w:p>
        </w:tc>
        <w:tc>
          <w:tcPr>
            <w:tcW w:type="dxa" w:w="318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Opción B: trabajo grupal</w:t>
            </w:r>
          </w:p>
        </w:tc>
        <w:tc>
          <w:tcPr>
            <w:tcW w:type="dxa" w:w="430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Permite distribuir cliente, servidor y apoyos especializados.</w:t>
            </w:r>
          </w:p>
        </w:tc>
      </w:tr>
      <w:tr>
        <w:trPr>
          <w:cantSplit/>
        </w:trPr>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Título</w:t>
            </w:r>
          </w:p>
        </w:tc>
        <w:tc>
          <w:tcPr>
            <w:tcW w:type="dxa" w:w="318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Kallami: Senderos de plata</w:t>
            </w:r>
          </w:p>
        </w:tc>
        <w:tc>
          <w:tcPr>
            <w:tcW w:type="dxa" w:w="430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Es breve, recordable y no utiliza una traducción aymara sin validación.</w:t>
            </w:r>
          </w:p>
        </w:tc>
      </w:tr>
      <w:tr>
        <w:trPr>
          <w:cantSplit/>
        </w:trPr>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Motor y plataforma</w:t>
            </w:r>
          </w:p>
        </w:tc>
        <w:tc>
          <w:tcPr>
            <w:tcW w:type="dxa" w:w="318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Godot Engine 4.x para PC</w:t>
            </w:r>
          </w:p>
        </w:tc>
        <w:tc>
          <w:tcPr>
            <w:tcW w:type="dxa" w:w="430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Favorece la programación 2D y es viable con el perfil de Desarrollo de Software.</w:t>
            </w:r>
          </w:p>
        </w:tc>
      </w:tr>
      <w:tr>
        <w:trPr>
          <w:cantSplit/>
        </w:trPr>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Estilo</w:t>
            </w:r>
          </w:p>
        </w:tc>
        <w:tc>
          <w:tcPr>
            <w:tcW w:type="dxa" w:w="318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Pixel art 2D con vista superior</w:t>
            </w:r>
          </w:p>
        </w:tc>
        <w:tc>
          <w:tcPr>
            <w:tcW w:type="dxa" w:w="430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Reduce el costo de producción y permite reutilizar escenarios modulares.</w:t>
            </w:r>
          </w:p>
        </w:tc>
      </w:tr>
      <w:tr>
        <w:trPr>
          <w:cantSplit/>
        </w:trPr>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Alcance</w:t>
            </w:r>
          </w:p>
        </w:tc>
        <w:tc>
          <w:tcPr>
            <w:tcW w:type="dxa" w:w="318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Tres niveles, cuatro mecánicas, un NPC y un enemigo</w:t>
            </w:r>
          </w:p>
        </w:tc>
        <w:tc>
          <w:tcPr>
            <w:tcW w:type="dxa" w:w="430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Cumple el mínimo académico sin convertir el proyecto en un juego demasiado grande.</w:t>
            </w:r>
          </w:p>
        </w:tc>
      </w:tr>
      <w:tr>
        <w:trPr>
          <w:cantSplit/>
        </w:trPr>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Integración</w:t>
            </w:r>
          </w:p>
        </w:tc>
        <w:tc>
          <w:tcPr>
            <w:tcW w:type="dxa" w:w="318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Godot, API FastAPI y SQLite</w:t>
            </w:r>
          </w:p>
        </w:tc>
        <w:tc>
          <w:tcPr>
            <w:tcW w:type="dxa" w:w="430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Demuestra el trabajo cliente-servidor sin introducir multijugador.</w:t>
            </w:r>
          </w:p>
        </w:tc>
      </w:tr>
    </w:tbl>
    <w:p>
      <w:pPr>
        <w:spacing w:after="0"/>
      </w:pPr>
    </w:p>
    <w:p>
      <w:pPr>
        <w:pStyle w:val="Heading1"/>
      </w:pPr>
      <w:r>
        <w:t>4. Cambios y adiciones en narrativa y diseño</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1310"/>
        <w:gridCol w:w="2340"/>
        <w:gridCol w:w="2808"/>
        <w:gridCol w:w="2902"/>
      </w:tblGrid>
      <w:tr>
        <w:trPr>
          <w:tblHeader w:val="true"/>
          <w:cantSplit/>
        </w:trPr>
        <w:tc>
          <w:tcPr>
            <w:tcW w:type="dxa" w:w="131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Área</w:t>
            </w:r>
          </w:p>
        </w:tc>
        <w:tc>
          <w:tcPr>
            <w:tcW w:type="dxa" w:w="234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Situación anterior</w:t>
            </w:r>
          </w:p>
        </w:tc>
        <w:tc>
          <w:tcPr>
            <w:tcW w:type="dxa" w:w="2808"/>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Cambio o adición</w:t>
            </w:r>
          </w:p>
        </w:tc>
        <w:tc>
          <w:tcPr>
            <w:tcW w:type="dxa" w:w="290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Motivo e impacto</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Relato</w:t>
            </w:r>
          </w:p>
        </w:tc>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La procedencia no estaba presentada con un control de verificación.</w:t>
            </w:r>
          </w:p>
        </w:tc>
        <w:tc>
          <w:tcPr>
            <w:tcW w:type="dxa" w:w="2808"/>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Se registró a Mariano Quispe, Pucarani, Cota Cota y la fecha 14/05/2006; el soporte primario queda sujeto a disponibilidad.</w:t>
            </w:r>
          </w:p>
        </w:tc>
        <w:tc>
          <w:tcPr>
            <w:tcW w:type="dxa" w:w="290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Evita presentar como comprobado aquello que el grupo aún no puede documentar.</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Adaptación</w:t>
            </w:r>
          </w:p>
        </w:tc>
        <w:tc>
          <w:tcPr>
            <w:tcW w:type="dxa" w:w="234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Los elementos del relato y las invenciones jugables podían confundirse.</w:t>
            </w:r>
          </w:p>
        </w:tc>
        <w:tc>
          <w:tcPr>
            <w:tcW w:type="dxa" w:w="2808"/>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Se separaron hechos conservados y elementos ficticios.</w:t>
            </w:r>
          </w:p>
        </w:tc>
        <w:tc>
          <w:tcPr>
            <w:tcW w:type="dxa" w:w="290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Protege la coherencia cultural y permite justificar cada licencia creativa.</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Protagonista</w:t>
            </w:r>
          </w:p>
        </w:tc>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No existía una ficha grupal única.</w:t>
            </w:r>
          </w:p>
        </w:tc>
        <w:tc>
          <w:tcPr>
            <w:tcW w:type="dxa" w:w="2808"/>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Se definió a Juan Huanca, de 23 años, con motivación, habilidades y transformación.</w:t>
            </w:r>
          </w:p>
        </w:tc>
        <w:tc>
          <w:tcPr>
            <w:tcW w:type="dxa" w:w="290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Conecta la narrativa con los controles y las mecánicas.</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NPC</w:t>
            </w:r>
          </w:p>
        </w:tc>
        <w:tc>
          <w:tcPr>
            <w:tcW w:type="dxa" w:w="234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Florencio no contaba con una ficha funcional completa.</w:t>
            </w:r>
          </w:p>
        </w:tc>
        <w:tc>
          <w:tcPr>
            <w:tcW w:type="dxa" w:w="2808"/>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Se añadieron clasificación, función, personalidad, habilidades, relación, diálogos y cinco estados.</w:t>
            </w:r>
          </w:p>
        </w:tc>
        <w:tc>
          <w:tcPr>
            <w:tcW w:type="dxa" w:w="290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Permite implementar y probar su intervención sin convertirlo en un sistema complejo.</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Enemigo</w:t>
            </w:r>
          </w:p>
        </w:tc>
        <w:tc>
          <w:tcPr>
            <w:tcW w:type="dxa" w:w="234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El combate podía crecer sin límites.</w:t>
            </w:r>
          </w:p>
        </w:tc>
        <w:tc>
          <w:tcPr>
            <w:tcW w:type="dxa" w:w="2808"/>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Se redujo a una sombra errante con cuatro estados y dos impactos de resistencia.</w:t>
            </w:r>
          </w:p>
        </w:tc>
        <w:tc>
          <w:tcPr>
            <w:tcW w:type="dxa" w:w="290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Mantiene el combate visible, pero secundario frente a la exploración.</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Camino del Héroe</w:t>
            </w:r>
          </w:p>
        </w:tc>
        <w:tc>
          <w:tcPr>
            <w:tcW w:type="dxa" w:w="234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Las etapas no estaban cerradas como versión grupal.</w:t>
            </w:r>
          </w:p>
        </w:tc>
        <w:tc>
          <w:tcPr>
            <w:tcW w:type="dxa" w:w="2808"/>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Se relacionaron diez etapas con Juan, Florencio, los niveles y el regreso.</w:t>
            </w:r>
          </w:p>
        </w:tc>
        <w:tc>
          <w:tcPr>
            <w:tcW w:type="dxa" w:w="290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La progresión narrativa ahora coincide con la progresión jugable.</w:t>
            </w:r>
          </w:p>
        </w:tc>
      </w:tr>
    </w:tbl>
    <w:p>
      <w:pPr>
        <w:spacing w:after="0"/>
      </w:pPr>
    </w:p>
    <w:p>
      <w:pPr>
        <w:pStyle w:val="Heading1"/>
      </w:pPr>
      <w:r>
        <w:t>5. Cambios y adiciones en jugabilidad</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1685"/>
        <w:gridCol w:w="4399"/>
        <w:gridCol w:w="3276"/>
      </w:tblGrid>
      <w:tr>
        <w:trPr>
          <w:tblHeader w:val="true"/>
          <w:cantSplit/>
        </w:trPr>
        <w:tc>
          <w:tcPr>
            <w:tcW w:type="dxa" w:w="1685"/>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Área</w:t>
            </w:r>
          </w:p>
        </w:tc>
        <w:tc>
          <w:tcPr>
            <w:tcW w:type="dxa" w:w="4399"/>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Definición incorporada</w:t>
            </w:r>
          </w:p>
        </w:tc>
        <w:tc>
          <w:tcPr>
            <w:tcW w:type="dxa" w:w="3276"/>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Efecto en el proyecto</w:t>
            </w:r>
          </w:p>
        </w:tc>
      </w:tr>
      <w:tr>
        <w:trPr>
          <w:cantSplit/>
        </w:trPr>
        <w:tc>
          <w:tcPr>
            <w:tcW w:type="dxa" w:w="1685"/>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Core loop</w:t>
            </w:r>
          </w:p>
        </w:tc>
        <w:tc>
          <w:tcPr>
            <w:tcW w:type="dxa" w:w="4399"/>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Recibir objetivo, explorar, interactuar, encontrar pista, evitar o combatir, desbloquear ruta y avanzar.</w:t>
            </w:r>
          </w:p>
        </w:tc>
        <w:tc>
          <w:tcPr>
            <w:tcW w:type="dxa" w:w="327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Todas las funciones centrales apuntan al mismo ciclo.</w:t>
            </w:r>
          </w:p>
        </w:tc>
      </w:tr>
      <w:tr>
        <w:trPr>
          <w:cantSplit/>
        </w:trPr>
        <w:tc>
          <w:tcPr>
            <w:tcW w:type="dxa" w:w="1685"/>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Mecánicas</w:t>
            </w:r>
          </w:p>
        </w:tc>
        <w:tc>
          <w:tcPr>
            <w:tcW w:type="dxa" w:w="4399"/>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Exploración, interacción, recopilación de pistas y combate breve.</w:t>
            </w:r>
          </w:p>
        </w:tc>
        <w:tc>
          <w:tcPr>
            <w:tcW w:type="dxa" w:w="327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Se mantiene el rango recomendado de tres a cinco mecánicas.</w:t>
            </w:r>
          </w:p>
        </w:tc>
      </w:tr>
      <w:tr>
        <w:trPr>
          <w:cantSplit/>
        </w:trPr>
        <w:tc>
          <w:tcPr>
            <w:tcW w:type="dxa" w:w="1685"/>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Controles</w:t>
            </w:r>
          </w:p>
        </w:tc>
        <w:tc>
          <w:tcPr>
            <w:tcW w:type="dxa" w:w="4399"/>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WASD o flechas, E, Espacio, Enter y Esc.</w:t>
            </w:r>
          </w:p>
        </w:tc>
        <w:tc>
          <w:tcPr>
            <w:tcW w:type="dxa" w:w="327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Cada acción tiene una entrada y una respuesta esperada.</w:t>
            </w:r>
          </w:p>
        </w:tc>
      </w:tr>
      <w:tr>
        <w:trPr>
          <w:cantSplit/>
        </w:trPr>
        <w:tc>
          <w:tcPr>
            <w:tcW w:type="dxa" w:w="1685"/>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Cámara</w:t>
            </w:r>
          </w:p>
        </w:tc>
        <w:tc>
          <w:tcPr>
            <w:tcW w:type="dxa" w:w="4399"/>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Vista superior con Camera2D, suavizado y límites por nivel.</w:t>
            </w:r>
          </w:p>
        </w:tc>
        <w:tc>
          <w:tcPr>
            <w:tcW w:type="dxa" w:w="327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Evita cambios de perspectiva y simplifica el diseño de mapas.</w:t>
            </w:r>
          </w:p>
        </w:tc>
      </w:tr>
      <w:tr>
        <w:trPr>
          <w:cantSplit/>
        </w:trPr>
        <w:tc>
          <w:tcPr>
            <w:tcW w:type="dxa" w:w="1685"/>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Colisiones</w:t>
            </w:r>
          </w:p>
        </w:tc>
        <w:tc>
          <w:tcPr>
            <w:tcW w:type="dxa" w:w="4399"/>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Capas separadas para jugador, paredes, peligros, enemigos, proyectiles e interacción.</w:t>
            </w:r>
          </w:p>
        </w:tc>
        <w:tc>
          <w:tcPr>
            <w:tcW w:type="dxa" w:w="327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Reduce errores y evita que el ataque afecte al NPC o a las pistas.</w:t>
            </w:r>
          </w:p>
        </w:tc>
      </w:tr>
      <w:tr>
        <w:trPr>
          <w:cantSplit/>
        </w:trPr>
        <w:tc>
          <w:tcPr>
            <w:tcW w:type="dxa" w:w="1685"/>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Condiciones</w:t>
            </w:r>
          </w:p>
        </w:tc>
        <w:tc>
          <w:tcPr>
            <w:tcW w:type="dxa" w:w="4399"/>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Victoria, derrota, checkpoints, reinicio y cierre narrativo definidos.</w:t>
            </w:r>
          </w:p>
        </w:tc>
        <w:tc>
          <w:tcPr>
            <w:tcW w:type="dxa" w:w="327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El prototipo podrá probarse con criterios observables.</w:t>
            </w:r>
          </w:p>
        </w:tc>
      </w:tr>
    </w:tbl>
    <w:p>
      <w:pPr>
        <w:spacing w:after="0"/>
      </w:pPr>
    </w:p>
    <w:p>
      <w:pPr>
        <w:pStyle w:val="Heading1"/>
      </w:pPr>
      <w:r>
        <w:t>6. Niveles, objetos e interfaz</w:t>
      </w:r>
    </w:p>
    <w:p>
      <w:pPr>
        <w:pStyle w:val="ListBullet"/>
      </w:pPr>
      <w:r>
        <w:rPr>
          <w:rFonts w:ascii="Calibri" w:hAnsi="Calibri"/>
          <w:b w:val="0"/>
          <w:i w:val="0"/>
          <w:color w:val="222222"/>
          <w:sz w:val="21"/>
        </w:rPr>
        <w:t>Se fijaron tres niveles compactos: comunidad, ascenso y cámara de plata.</w:t>
      </w:r>
    </w:p>
    <w:p>
      <w:pPr>
        <w:pStyle w:val="ListBullet"/>
      </w:pPr>
      <w:r>
        <w:rPr>
          <w:rFonts w:ascii="Calibri" w:hAnsi="Calibri"/>
          <w:b w:val="0"/>
          <w:i w:val="0"/>
          <w:color w:val="222222"/>
          <w:sz w:val="21"/>
        </w:rPr>
        <w:t>Cada nivel cuenta con lugar, objetivo, obstáculo, recompensa, inicio y salida.</w:t>
      </w:r>
    </w:p>
    <w:p>
      <w:pPr>
        <w:pStyle w:val="ListBullet"/>
      </w:pPr>
      <w:r>
        <w:rPr>
          <w:rFonts w:ascii="Calibri" w:hAnsi="Calibri"/>
          <w:b w:val="0"/>
          <w:i w:val="0"/>
          <w:color w:val="222222"/>
          <w:sz w:val="21"/>
        </w:rPr>
        <w:t>Las tres pistas se distribuyeron entre los niveles 1 y 2 y habilitan el acceso final.</w:t>
      </w:r>
    </w:p>
    <w:p>
      <w:pPr>
        <w:pStyle w:val="ListBullet"/>
      </w:pPr>
      <w:r>
        <w:rPr>
          <w:rFonts w:ascii="Calibri" w:hAnsi="Calibri"/>
          <w:b w:val="0"/>
          <w:i w:val="0"/>
          <w:color w:val="222222"/>
          <w:sz w:val="21"/>
        </w:rPr>
        <w:t>Se definió la dificultad de peligros ambientales y sombras, junto con la forma de evitarlos o vencerlos.</w:t>
      </w:r>
    </w:p>
    <w:p>
      <w:pPr>
        <w:pStyle w:val="ListBullet"/>
      </w:pPr>
      <w:r>
        <w:rPr>
          <w:rFonts w:ascii="Calibri" w:hAnsi="Calibri"/>
          <w:b w:val="0"/>
          <w:i w:val="0"/>
          <w:color w:val="222222"/>
          <w:sz w:val="21"/>
        </w:rPr>
        <w:t>Se diseñaron menú, HUD, diálogo, pausa y pantalla final; se descartaron inventario, energía y munición.</w:t>
      </w:r>
    </w:p>
    <w:p>
      <w:pPr>
        <w:pStyle w:val="Heading1"/>
      </w:pPr>
      <w:r>
        <w:t>7. Cambios y adiciones técnicas</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1591"/>
        <w:gridCol w:w="3650"/>
        <w:gridCol w:w="1872"/>
        <w:gridCol w:w="2247"/>
      </w:tblGrid>
      <w:tr>
        <w:trPr>
          <w:tblHeader w:val="true"/>
          <w:cantSplit/>
        </w:trPr>
        <w:tc>
          <w:tcPr>
            <w:tcW w:type="dxa" w:w="1591"/>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Componente</w:t>
            </w:r>
          </w:p>
        </w:tc>
        <w:tc>
          <w:tcPr>
            <w:tcW w:type="dxa" w:w="365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Adición</w:t>
            </w:r>
          </w:p>
        </w:tc>
        <w:tc>
          <w:tcPr>
            <w:tcW w:type="dxa" w:w="187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Responsable o apoyo</w:t>
            </w:r>
          </w:p>
        </w:tc>
        <w:tc>
          <w:tcPr>
            <w:tcW w:type="dxa" w:w="2247"/>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5"/>
              </w:rPr>
              <w:t>Resultado esperado</w:t>
            </w:r>
          </w:p>
        </w:tc>
      </w:tr>
      <w:tr>
        <w:trPr>
          <w:cantSplit/>
        </w:trPr>
        <w:tc>
          <w:tcPr>
            <w:tcW w:type="dxa" w:w="159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Cliente Godot</w:t>
            </w:r>
          </w:p>
        </w:tc>
        <w:tc>
          <w:tcPr>
            <w:tcW w:type="dxa" w:w="365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Estructura de escenas para Main, Player, NPC, enemigo, proyectil, niveles, HUD y diálogo.</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Brayan</w:t>
            </w:r>
          </w:p>
        </w:tc>
        <w:tc>
          <w:tcPr>
            <w:tcW w:type="dxa" w:w="224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Código organizado y sistemas reutilizables.</w:t>
            </w:r>
          </w:p>
        </w:tc>
      </w:tr>
      <w:tr>
        <w:trPr>
          <w:cantSplit/>
        </w:trPr>
        <w:tc>
          <w:tcPr>
            <w:tcW w:type="dxa" w:w="159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Estados y señales</w:t>
            </w:r>
          </w:p>
        </w:tc>
        <w:tc>
          <w:tcPr>
            <w:tcW w:type="dxa" w:w="365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Eventos para interacción, pistas, salud, enemigo, objetivos, checkpoints y niveles.</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Brayan / Mesa IA</w:t>
            </w:r>
          </w:p>
        </w:tc>
        <w:tc>
          <w:tcPr>
            <w:tcW w:type="dxa" w:w="224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Menor dependencia entre escenas y pruebas aisladas.</w:t>
            </w:r>
          </w:p>
        </w:tc>
      </w:tr>
      <w:tr>
        <w:trPr>
          <w:cantSplit/>
        </w:trPr>
        <w:tc>
          <w:tcPr>
            <w:tcW w:type="dxa" w:w="159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Servidor</w:t>
            </w:r>
          </w:p>
        </w:tc>
        <w:tc>
          <w:tcPr>
            <w:tcW w:type="dxa" w:w="365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API mínima para crear sesión, guardar, consultar y finalizar progreso.</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Douglas</w:t>
            </w:r>
          </w:p>
        </w:tc>
        <w:tc>
          <w:tcPr>
            <w:tcW w:type="dxa" w:w="224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Integración demostrable sin multijugador.</w:t>
            </w:r>
          </w:p>
        </w:tc>
      </w:tr>
      <w:tr>
        <w:trPr>
          <w:cantSplit/>
        </w:trPr>
        <w:tc>
          <w:tcPr>
            <w:tcW w:type="dxa" w:w="159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Datos</w:t>
            </w:r>
          </w:p>
        </w:tc>
        <w:tc>
          <w:tcPr>
            <w:tcW w:type="dxa" w:w="365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SQLite para sesión, nivel, pistas, checkpoint y resultado final.</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Douglas</w:t>
            </w:r>
          </w:p>
        </w:tc>
        <w:tc>
          <w:tcPr>
            <w:tcW w:type="dxa" w:w="224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Persistencia suficiente para el alcance acordado.</w:t>
            </w:r>
          </w:p>
        </w:tc>
      </w:tr>
      <w:tr>
        <w:trPr>
          <w:cantSplit/>
        </w:trPr>
        <w:tc>
          <w:tcPr>
            <w:tcW w:type="dxa" w:w="159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Redes</w:t>
            </w:r>
          </w:p>
        </w:tc>
        <w:tc>
          <w:tcPr>
            <w:tcW w:type="dxa" w:w="365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JSON, tiempo de espera, un reintento y continuidad local ante desconexión.</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Mesa de Redes</w:t>
            </w:r>
          </w:p>
        </w:tc>
        <w:tc>
          <w:tcPr>
            <w:tcW w:type="dxa" w:w="224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5"/>
              </w:rPr>
              <w:t>La ausencia temporal del servidor no bloquea el juego.</w:t>
            </w:r>
          </w:p>
        </w:tc>
      </w:tr>
      <w:tr>
        <w:trPr>
          <w:cantSplit/>
        </w:trPr>
        <w:tc>
          <w:tcPr>
            <w:tcW w:type="dxa" w:w="159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Versionado</w:t>
            </w:r>
          </w:p>
        </w:tc>
        <w:tc>
          <w:tcPr>
            <w:tcW w:type="dxa" w:w="365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Repositorio Git, ramas breves, commits concretos y etiquetas semanales.</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Brayan y Douglas</w:t>
            </w:r>
          </w:p>
        </w:tc>
        <w:tc>
          <w:tcPr>
            <w:tcW w:type="dxa" w:w="224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5"/>
              </w:rPr>
              <w:t>Evidencia individual y trazabilidad del trabajo.</w:t>
            </w:r>
          </w:p>
        </w:tc>
      </w:tr>
    </w:tbl>
    <w:p>
      <w:pPr>
        <w:spacing w:after="0"/>
      </w:pPr>
    </w:p>
    <w:p>
      <w:pPr>
        <w:pStyle w:val="Heading1"/>
      </w:pPr>
      <w:r>
        <w:t>8. Corrección del cronograma</w:t>
      </w:r>
    </w:p>
    <w:p>
      <w:r>
        <w:t>La segunda revisión detectó que la sección de aporte de Brayan exigía movimiento, colisiones, escena jugable y combate durante la Semana 1. Esa exigencia contradecía el cronograma oficial, que reserva la implementación del Alpha para la Semana 2.</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4680"/>
        <w:gridCol w:w="4680"/>
      </w:tblGrid>
      <w:tr>
        <w:trPr>
          <w:tblHeader w:val="true"/>
          <w:cantSplit/>
        </w:trPr>
        <w:tc>
          <w:tcPr>
            <w:tcW w:type="dxa" w:w="468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7"/>
              </w:rPr>
              <w:t>Semana 1: diseñar y acordar</w:t>
            </w:r>
          </w:p>
        </w:tc>
        <w:tc>
          <w:tcPr>
            <w:tcW w:type="dxa" w:w="468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7"/>
              </w:rPr>
              <w:t>Semana 2: implementar y demostrar</w:t>
            </w:r>
          </w:p>
        </w:tc>
      </w:tr>
      <w:tr>
        <w:trPr>
          <w:cantSplit/>
        </w:trPr>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Core loop, controles, cámara y matriz de colisiones.</w:t>
            </w:r>
          </w:p>
        </w:tc>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Player.tscn con movimiento y colisiones.</w:t>
            </w:r>
          </w:p>
        </w:tc>
      </w:tr>
      <w:tr>
        <w:trPr>
          <w:cantSplit/>
        </w:trPr>
        <w:tc>
          <w:tcPr>
            <w:tcW w:type="dxa" w:w="468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7"/>
              </w:rPr>
              <w:t>Diagrama de escenas, estados y señales.</w:t>
            </w:r>
          </w:p>
        </w:tc>
        <w:tc>
          <w:tcPr>
            <w:tcW w:type="dxa" w:w="468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7"/>
              </w:rPr>
              <w:t>Interacción, ataque y sombra base.</w:t>
            </w:r>
          </w:p>
        </w:tc>
      </w:tr>
      <w:tr>
        <w:trPr>
          <w:cantSplit/>
        </w:trPr>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Wireframes, mapas y condiciones del juego.</w:t>
            </w:r>
          </w:p>
        </w:tc>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Main.tscn y primer escenario funcional.</w:t>
            </w:r>
          </w:p>
        </w:tc>
      </w:tr>
      <w:tr>
        <w:trPr>
          <w:cantSplit/>
        </w:trPr>
        <w:tc>
          <w:tcPr>
            <w:tcW w:type="dxa" w:w="468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7"/>
              </w:rPr>
              <w:t>Contrato HTTP/JSON y comportamiento ante desconexión.</w:t>
            </w:r>
          </w:p>
        </w:tc>
        <w:tc>
          <w:tcPr>
            <w:tcW w:type="dxa" w:w="468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7"/>
              </w:rPr>
              <w:t>API, persistencia y primera conexión.</w:t>
            </w:r>
          </w:p>
        </w:tc>
      </w:tr>
      <w:tr>
        <w:trPr>
          <w:cantSplit/>
        </w:trPr>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Repositorio, tareas, responsables y evidencias previstas.</w:t>
            </w:r>
          </w:p>
        </w:tc>
        <w:tc>
          <w:tcPr>
            <w:tcW w:type="dxa" w:w="468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7"/>
              </w:rPr>
              <w:t>Alpha 0.1, commits y pruebas iniciales.</w:t>
            </w:r>
          </w:p>
        </w:tc>
      </w:tr>
    </w:tbl>
    <w:p>
      <w:pPr>
        <w:spacing w:after="0"/>
      </w:pPr>
    </w:p>
    <w:tbl>
      <w:tblPr>
        <w:tblW w:type="dxa" w:w="9360"/>
        <w:jc w:val="left"/>
        <w:tblLayout w:type="fixed"/>
        <w:tblLook w:firstColumn="1" w:firstRow="1" w:lastColumn="0" w:lastRow="0" w:noHBand="0" w:noVBand="1" w:val="04A0"/>
        <w:tblInd w:type="dxa" w:w="12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c>
          <w:tcPr>
            <w:tcW w:type="dxa" w:w="9360"/>
            <w:tcMar>
              <w:top w:w="120" w:type="dxa"/>
              <w:bottom w:w="120" w:type="dxa"/>
              <w:start w:w="120" w:type="dxa"/>
              <w:end w:w="120" w:type="dxa"/>
            </w:tcMar>
            <w:shd w:fill="EADCC7"/>
          </w:tcPr>
          <w:p>
            <w:pPr>
              <w:spacing w:after="0"/>
            </w:pPr>
            <w:r>
              <w:rPr>
                <w:rFonts w:ascii="Calibri" w:hAnsi="Calibri"/>
                <w:b/>
                <w:i w:val="0"/>
                <w:color w:val="17324D"/>
                <w:sz w:val="20"/>
              </w:rPr>
              <w:t xml:space="preserve">Resultado: </w:t>
            </w:r>
            <w:r>
              <w:rPr>
                <w:rFonts w:ascii="Calibri" w:hAnsi="Calibri"/>
                <w:b w:val="0"/>
                <w:i w:val="0"/>
                <w:color w:val="222222"/>
                <w:sz w:val="20"/>
              </w:rPr>
              <w:t>El GDD puede incluir diseño técnico detallado en la Semana 1, pero no debe presentar como obligatorio un sistema jugable antes de la fase Alpha.</w:t>
            </w:r>
          </w:p>
        </w:tc>
      </w:tr>
    </w:tbl>
    <w:p>
      <w:pPr>
        <w:spacing w:after="0"/>
      </w:pPr>
    </w:p>
    <w:p>
      <w:pPr>
        <w:pStyle w:val="Heading1"/>
      </w:pPr>
      <w:r>
        <w:t>9. Recursos visuales incorporados</w:t>
      </w:r>
    </w:p>
    <w:p>
      <w:pPr>
        <w:pStyle w:val="ListBullet"/>
      </w:pPr>
      <w:r>
        <w:rPr>
          <w:rFonts w:ascii="Calibri" w:hAnsi="Calibri"/>
          <w:b w:val="0"/>
          <w:i w:val="0"/>
          <w:color w:val="222222"/>
          <w:sz w:val="21"/>
        </w:rPr>
        <w:t>Boceto conceptual de Juan Huanca, Florencio Mamani y la sombra errante.</w:t>
      </w:r>
    </w:p>
    <w:p>
      <w:pPr>
        <w:pStyle w:val="ListBullet"/>
      </w:pPr>
      <w:r>
        <w:rPr>
          <w:rFonts w:ascii="Calibri" w:hAnsi="Calibri"/>
          <w:b w:val="0"/>
          <w:i w:val="0"/>
          <w:color w:val="222222"/>
          <w:sz w:val="21"/>
        </w:rPr>
        <w:t>Boceto visual de comunidad, ascenso y cámara interior.</w:t>
      </w:r>
    </w:p>
    <w:p>
      <w:pPr>
        <w:pStyle w:val="ListBullet"/>
      </w:pPr>
      <w:r>
        <w:rPr>
          <w:rFonts w:ascii="Calibri" w:hAnsi="Calibri"/>
          <w:b w:val="0"/>
          <w:i w:val="0"/>
          <w:color w:val="222222"/>
          <w:sz w:val="21"/>
        </w:rPr>
        <w:t>Mapas funcionales con inicio, salida, NPC, pistas, enemigos, peligros y checkpoints.</w:t>
      </w:r>
    </w:p>
    <w:p>
      <w:pPr>
        <w:pStyle w:val="ListBullet"/>
      </w:pPr>
      <w:r>
        <w:rPr>
          <w:rFonts w:ascii="Calibri" w:hAnsi="Calibri"/>
          <w:b w:val="0"/>
          <w:i w:val="0"/>
          <w:color w:val="222222"/>
          <w:sz w:val="21"/>
        </w:rPr>
        <w:t>Wireframes de menú, HUD, diálogo y pantalla final, rotulados como versión 1.0.</w:t>
      </w:r>
    </w:p>
    <w:p>
      <w:pPr>
        <w:pStyle w:val="ListBullet"/>
      </w:pPr>
      <w:r>
        <w:rPr>
          <w:rFonts w:ascii="Calibri" w:hAnsi="Calibri"/>
          <w:b w:val="0"/>
          <w:i w:val="0"/>
          <w:color w:val="222222"/>
          <w:sz w:val="21"/>
        </w:rPr>
        <w:t>Diagrama de arquitectura de Godot, FastAPI, SQLite y apoyos transversales.</w:t>
      </w:r>
    </w:p>
    <w:p>
      <w:pPr>
        <w:pStyle w:val="Heading1"/>
      </w:pPr>
      <w:r>
        <w:t>10. Elementos eliminados o excluidos</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2527"/>
        <w:gridCol w:w="1872"/>
        <w:gridCol w:w="4961"/>
      </w:tblGrid>
      <w:tr>
        <w:trPr>
          <w:tblHeader w:val="true"/>
          <w:cantSplit/>
        </w:trPr>
        <w:tc>
          <w:tcPr>
            <w:tcW w:type="dxa" w:w="2527"/>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Elemento</w:t>
            </w:r>
          </w:p>
        </w:tc>
        <w:tc>
          <w:tcPr>
            <w:tcW w:type="dxa" w:w="187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Decisión</w:t>
            </w:r>
          </w:p>
        </w:tc>
        <w:tc>
          <w:tcPr>
            <w:tcW w:type="dxa" w:w="4961"/>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Justificación</w:t>
            </w:r>
          </w:p>
        </w:tc>
      </w:tr>
      <w:tr>
        <w:trPr>
          <w:cantSplit/>
        </w:trPr>
        <w:tc>
          <w:tcPr>
            <w:tcW w:type="dxa" w:w="252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Unión automática de trabajos individuales</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Eliminada</w:t>
            </w:r>
          </w:p>
        </w:tc>
        <w:tc>
          <w:tcPr>
            <w:tcW w:type="dxa" w:w="496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La versión grupal debe responder a la opción B y no heredar contradicciones.</w:t>
            </w:r>
          </w:p>
        </w:tc>
      </w:tr>
      <w:tr>
        <w:trPr>
          <w:cantSplit/>
        </w:trPr>
        <w:tc>
          <w:tcPr>
            <w:tcW w:type="dxa" w:w="252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Deepfakes, hash SHA-256 y autenticación de archivos</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Excluidos del GDD</w:t>
            </w:r>
          </w:p>
        </w:tc>
        <w:tc>
          <w:tcPr>
            <w:tcW w:type="dxa" w:w="496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No son necesarios para la narrativa ni para el core loop.</w:t>
            </w:r>
          </w:p>
        </w:tc>
      </w:tr>
      <w:tr>
        <w:trPr>
          <w:cantSplit/>
        </w:trPr>
        <w:tc>
          <w:tcPr>
            <w:tcW w:type="dxa" w:w="252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Auditoría, pentesting y protección de cuentas</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Documento separado</w:t>
            </w:r>
          </w:p>
        </w:tc>
        <w:tc>
          <w:tcPr>
            <w:tcW w:type="dxa" w:w="496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Corresponden al aporte independiente de Seguridad de la Información.</w:t>
            </w:r>
          </w:p>
        </w:tc>
      </w:tr>
      <w:tr>
        <w:trPr>
          <w:cantSplit/>
        </w:trPr>
        <w:tc>
          <w:tcPr>
            <w:tcW w:type="dxa" w:w="252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Multijugador, salas y sincronización en tiempo real</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Fuera de alcance</w:t>
            </w:r>
          </w:p>
        </w:tc>
        <w:tc>
          <w:tcPr>
            <w:tcW w:type="dxa" w:w="496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Aumentan el tiempo de programación sin mejorar la experiencia principal.</w:t>
            </w:r>
          </w:p>
        </w:tc>
      </w:tr>
      <w:tr>
        <w:trPr>
          <w:cantSplit/>
        </w:trPr>
        <w:tc>
          <w:tcPr>
            <w:tcW w:type="dxa" w:w="2527"/>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Jefes, armas adicionales e inventario</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Fuera de alcance</w:t>
            </w:r>
          </w:p>
        </w:tc>
        <w:tc>
          <w:tcPr>
            <w:tcW w:type="dxa" w:w="496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Rompen el límite de cuatro semanas y agregan balance innecesario.</w:t>
            </w:r>
          </w:p>
        </w:tc>
      </w:tr>
      <w:tr>
        <w:trPr>
          <w:cantSplit/>
        </w:trPr>
        <w:tc>
          <w:tcPr>
            <w:tcW w:type="dxa" w:w="2527"/>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Anexos A y B</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Fuera del GDD entregable</w:t>
            </w:r>
          </w:p>
        </w:tc>
        <w:tc>
          <w:tcPr>
            <w:tcW w:type="dxa" w:w="496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La lista de verificación y el guion de exposición son materiales internos, no requisitos del documento.</w:t>
            </w:r>
          </w:p>
        </w:tc>
      </w:tr>
    </w:tbl>
    <w:p>
      <w:pPr>
        <w:spacing w:after="0"/>
      </w:pPr>
    </w:p>
    <w:p>
      <w:pPr>
        <w:pStyle w:val="Heading1"/>
      </w:pPr>
      <w:r>
        <w:t>11. Distribución acordada</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2246"/>
        <w:gridCol w:w="4493"/>
        <w:gridCol w:w="2621"/>
      </w:tblGrid>
      <w:tr>
        <w:trPr>
          <w:tblHeader w:val="true"/>
          <w:cantSplit/>
        </w:trPr>
        <w:tc>
          <w:tcPr>
            <w:tcW w:type="dxa" w:w="2246"/>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Integrante</w:t>
            </w:r>
          </w:p>
        </w:tc>
        <w:tc>
          <w:tcPr>
            <w:tcW w:type="dxa" w:w="4493"/>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Responsabilidad</w:t>
            </w:r>
          </w:p>
        </w:tc>
        <w:tc>
          <w:tcPr>
            <w:tcW w:type="dxa" w:w="2621"/>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Producto verificable</w:t>
            </w:r>
          </w:p>
        </w:tc>
      </w:tr>
      <w:tr>
        <w:trPr>
          <w:cantSplit/>
        </w:trPr>
        <w:tc>
          <w:tcPr>
            <w:tcW w:type="dxa" w:w="224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Brayan Quispe Mamani</w:t>
            </w:r>
          </w:p>
        </w:tc>
        <w:tc>
          <w:tcPr>
            <w:tcW w:type="dxa" w:w="4493"/>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Cliente y jugabilidad: controles, cámara, colisiones, escenas, NPC, combate, HUD, audio e integración.</w:t>
            </w:r>
          </w:p>
        </w:tc>
        <w:tc>
          <w:tcPr>
            <w:tcW w:type="dxa" w:w="262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Escenas, scripts, commits y pruebas funcionales.</w:t>
            </w:r>
          </w:p>
        </w:tc>
      </w:tr>
      <w:tr>
        <w:trPr>
          <w:cantSplit/>
        </w:trPr>
        <w:tc>
          <w:tcPr>
            <w:tcW w:type="dxa" w:w="224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Douglas Israel Roman Quispe</w:t>
            </w:r>
          </w:p>
        </w:tc>
        <w:tc>
          <w:tcPr>
            <w:tcW w:type="dxa" w:w="4493"/>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Servidor y datos: API FastAPI, SQLite, persistencia y contrato HTTP/JSON.</w:t>
            </w:r>
          </w:p>
        </w:tc>
        <w:tc>
          <w:tcPr>
            <w:tcW w:type="dxa" w:w="262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Repositorio del servidor, endpoints y prueba cliente-servidor.</w:t>
            </w:r>
          </w:p>
        </w:tc>
      </w:tr>
      <w:tr>
        <w:trPr>
          <w:cantSplit/>
        </w:trPr>
        <w:tc>
          <w:tcPr>
            <w:tcW w:type="dxa" w:w="224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Eduardo Ricardo Condori Mamani</w:t>
            </w:r>
          </w:p>
        </w:tc>
        <w:tc>
          <w:tcPr>
            <w:tcW w:type="dxa" w:w="4493"/>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Seguridad de la Información en documento independiente.</w:t>
            </w:r>
          </w:p>
        </w:tc>
        <w:tc>
          <w:tcPr>
            <w:tcW w:type="dxa" w:w="2621"/>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Informe técnico separado y observaciones para el grupo.</w:t>
            </w:r>
          </w:p>
        </w:tc>
      </w:tr>
      <w:tr>
        <w:trPr>
          <w:cantSplit/>
        </w:trPr>
        <w:tc>
          <w:tcPr>
            <w:tcW w:type="dxa" w:w="224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Equipo Kallami</w:t>
            </w:r>
          </w:p>
        </w:tc>
        <w:tc>
          <w:tcPr>
            <w:tcW w:type="dxa" w:w="4493"/>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Decisiones narrativas, recursos, pruebas externas y presentación.</w:t>
            </w:r>
          </w:p>
        </w:tc>
        <w:tc>
          <w:tcPr>
            <w:tcW w:type="dxa" w:w="2621"/>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GDD actualizado, evidencias y defensa.</w:t>
            </w:r>
          </w:p>
        </w:tc>
      </w:tr>
    </w:tbl>
    <w:p>
      <w:pPr>
        <w:spacing w:after="0"/>
      </w:pPr>
    </w:p>
    <w:p>
      <w:pPr>
        <w:pStyle w:val="Heading1"/>
      </w:pPr>
      <w:r>
        <w:t>12. Acciones internas pendientes</w:t>
      </w:r>
    </w:p>
    <w:tbl>
      <w:tblPr>
        <w:tblW w:type="dxa" w:w="9360"/>
        <w:jc w:val="left"/>
        <w:tblLayout w:type="fixed"/>
        <w:tblLook w:firstColumn="1" w:firstRow="1" w:lastColumn="0" w:lastRow="0" w:noHBand="0" w:noVBand="1" w:val="04A0"/>
        <w:tblInd w:type="dxa" w:w="120"/>
        <w:tblBorders>
          <w:top w:val="single" w:sz="6" w:color="B7C3CC"/>
          <w:left w:val="single" w:sz="6" w:color="B7C3CC"/>
          <w:bottom w:val="single" w:sz="6" w:color="B7C3CC"/>
          <w:right w:val="single" w:sz="6" w:color="B7C3CC"/>
          <w:insideH w:val="single" w:sz="6" w:color="B7C3CC"/>
          <w:insideV w:val="single" w:sz="6" w:color="B7C3CC"/>
        </w:tblBorders>
      </w:tblPr>
      <w:tblGrid>
        <w:gridCol w:w="1310"/>
        <w:gridCol w:w="4586"/>
        <w:gridCol w:w="1872"/>
        <w:gridCol w:w="1592"/>
      </w:tblGrid>
      <w:tr>
        <w:trPr>
          <w:tblHeader w:val="true"/>
          <w:cantSplit/>
        </w:trPr>
        <w:tc>
          <w:tcPr>
            <w:tcW w:type="dxa" w:w="1310"/>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Prioridad</w:t>
            </w:r>
          </w:p>
        </w:tc>
        <w:tc>
          <w:tcPr>
            <w:tcW w:type="dxa" w:w="4586"/>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Acción</w:t>
            </w:r>
          </w:p>
        </w:tc>
        <w:tc>
          <w:tcPr>
            <w:tcW w:type="dxa" w:w="187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Responsable</w:t>
            </w:r>
          </w:p>
        </w:tc>
        <w:tc>
          <w:tcPr>
            <w:tcW w:type="dxa" w:w="1592"/>
            <w:tcMar>
              <w:top w:w="80" w:type="dxa"/>
              <w:bottom w:w="80" w:type="dxa"/>
              <w:start w:w="120" w:type="dxa"/>
              <w:end w:w="120" w:type="dxa"/>
            </w:tcMar>
            <w:vAlign w:val="center"/>
            <w:shd w:fill="17324D"/>
          </w:tcPr>
          <w:p>
            <w:pPr>
              <w:spacing w:before="0" w:after="0" w:line="240" w:lineRule="auto"/>
            </w:pPr>
            <w:r>
              <w:rPr>
                <w:rFonts w:ascii="Calibri" w:hAnsi="Calibri"/>
                <w:b/>
                <w:i w:val="0"/>
                <w:color w:val="FFFFFF"/>
                <w:sz w:val="16"/>
              </w:rPr>
              <w:t>Estado</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Alta</w:t>
            </w:r>
          </w:p>
        </w:tc>
        <w:tc>
          <w:tcPr>
            <w:tcW w:type="dxa" w:w="458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Retirar los anexos A y B de la copia que se entregará; conservarlos como apoyo interno.</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Brayan</w:t>
            </w:r>
          </w:p>
        </w:tc>
        <w:tc>
          <w:tcPr>
            <w:tcW w:type="dxa" w:w="159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A realizar antes de entregar</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Alta</w:t>
            </w:r>
          </w:p>
        </w:tc>
        <w:tc>
          <w:tcPr>
            <w:tcW w:type="dxa" w:w="458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Confirmar que todos aceptan título, nombres ficticios, combate y alcance.</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Equipo</w:t>
            </w:r>
          </w:p>
        </w:tc>
        <w:tc>
          <w:tcPr>
            <w:tcW w:type="dxa" w:w="159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Revisión grupal</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Alta</w:t>
            </w:r>
          </w:p>
        </w:tc>
        <w:tc>
          <w:tcPr>
            <w:tcW w:type="dxa" w:w="458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Solicitar el soporte primario del relato si está disponible.</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Equipo</w:t>
            </w:r>
          </w:p>
        </w:tc>
        <w:tc>
          <w:tcPr>
            <w:tcW w:type="dxa" w:w="159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Pendiente de disponibilidad</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Media</w:t>
            </w:r>
          </w:p>
        </w:tc>
        <w:tc>
          <w:tcPr>
            <w:tcW w:type="dxa" w:w="458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Obtener observaciones reales de las mesas de IA y Redes y registrarlas.</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Brayan / Douglas</w:t>
            </w:r>
          </w:p>
        </w:tc>
        <w:tc>
          <w:tcPr>
            <w:tcW w:type="dxa" w:w="159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Pendiente de asesoría</w:t>
            </w:r>
          </w:p>
        </w:tc>
      </w:tr>
      <w:tr>
        <w:trPr>
          <w:cantSplit/>
        </w:trPr>
        <w:tc>
          <w:tcPr>
            <w:tcW w:type="dxa" w:w="1310"/>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Media</w:t>
            </w:r>
          </w:p>
        </w:tc>
        <w:tc>
          <w:tcPr>
            <w:tcW w:type="dxa" w:w="4586"/>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Crear repositorio, tablero y tareas de la Semana 2.</w:t>
            </w:r>
          </w:p>
        </w:tc>
        <w:tc>
          <w:tcPr>
            <w:tcW w:type="dxa" w:w="187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Brayan / Douglas</w:t>
            </w:r>
          </w:p>
        </w:tc>
        <w:tc>
          <w:tcPr>
            <w:tcW w:type="dxa" w:w="1592"/>
            <w:tcMar>
              <w:top w:w="80" w:type="dxa"/>
              <w:bottom w:w="80" w:type="dxa"/>
              <w:start w:w="120" w:type="dxa"/>
              <w:end w:w="120" w:type="dxa"/>
            </w:tcMar>
            <w:vAlign w:val="center"/>
            <w:shd w:fill="FFFFFF"/>
          </w:tcPr>
          <w:p>
            <w:pPr>
              <w:spacing w:before="0" w:after="0" w:line="240" w:lineRule="auto"/>
            </w:pPr>
            <w:r>
              <w:rPr>
                <w:rFonts w:ascii="Calibri" w:hAnsi="Calibri"/>
                <w:b w:val="0"/>
                <w:i w:val="0"/>
                <w:color w:val="222222"/>
                <w:sz w:val="16"/>
              </w:rPr>
              <w:t>Inicio de trabajo</w:t>
            </w:r>
          </w:p>
        </w:tc>
      </w:tr>
      <w:tr>
        <w:trPr>
          <w:cantSplit/>
        </w:trPr>
        <w:tc>
          <w:tcPr>
            <w:tcW w:type="dxa" w:w="1310"/>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Media</w:t>
            </w:r>
          </w:p>
        </w:tc>
        <w:tc>
          <w:tcPr>
            <w:tcW w:type="dxa" w:w="4586"/>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Ensayar la presentación para no superar cinco minutos.</w:t>
            </w:r>
          </w:p>
        </w:tc>
        <w:tc>
          <w:tcPr>
            <w:tcW w:type="dxa" w:w="187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Equipo</w:t>
            </w:r>
          </w:p>
        </w:tc>
        <w:tc>
          <w:tcPr>
            <w:tcW w:type="dxa" w:w="1592"/>
            <w:tcMar>
              <w:top w:w="80" w:type="dxa"/>
              <w:bottom w:w="80" w:type="dxa"/>
              <w:start w:w="120" w:type="dxa"/>
              <w:end w:w="120" w:type="dxa"/>
            </w:tcMar>
            <w:vAlign w:val="center"/>
            <w:shd w:fill="F5F2EC"/>
          </w:tcPr>
          <w:p>
            <w:pPr>
              <w:spacing w:before="0" w:after="0" w:line="240" w:lineRule="auto"/>
            </w:pPr>
            <w:r>
              <w:rPr>
                <w:rFonts w:ascii="Calibri" w:hAnsi="Calibri"/>
                <w:b w:val="0"/>
                <w:i w:val="0"/>
                <w:color w:val="222222"/>
                <w:sz w:val="16"/>
              </w:rPr>
              <w:t>Antes de la exposición</w:t>
            </w:r>
          </w:p>
        </w:tc>
      </w:tr>
    </w:tbl>
    <w:p>
      <w:pPr>
        <w:spacing w:after="0"/>
      </w:pPr>
    </w:p>
    <w:p>
      <w:pPr>
        <w:pStyle w:val="Heading1"/>
      </w:pPr>
      <w:r>
        <w:t>13. Resumen para la reunión del grupo</w:t>
      </w:r>
    </w:p>
    <w:p>
      <w:r>
        <w:t>La propuesta final queda definida como un juego 2D de exploración, interacción, pistas y combate breve. El relato del Cerro Kallami conserva prioridad, mientras Juan, Florencio, las sombras y los retos se reconocen como recursos ficticios. La Semana 1 cierra el diseño; la Semana 2 inicia el Alpha. Brayan desarrolla el cliente, Douglas el servidor y Eduardo mantiene su informe de Seguridad separado.</w:t>
      </w:r>
    </w:p>
    <w:tbl>
      <w:tblPr>
        <w:tblW w:type="dxa" w:w="9360"/>
        <w:jc w:val="left"/>
        <w:tblLayout w:type="fixed"/>
        <w:tblLook w:firstColumn="1" w:firstRow="1" w:lastColumn="0" w:lastRow="0" w:noHBand="0" w:noVBand="1" w:val="04A0"/>
        <w:tblInd w:type="dxa" w:w="120"/>
        <w:tblBorders>
          <w:top w:val="single" w:sz="10" w:color="8B5E3C"/>
          <w:left w:val="single" w:sz="10" w:color="8B5E3C"/>
          <w:bottom w:val="single" w:sz="10" w:color="8B5E3C"/>
          <w:right w:val="single" w:sz="10" w:color="8B5E3C"/>
          <w:insideH w:val="single" w:sz="10" w:color="8B5E3C"/>
          <w:insideV w:val="single" w:sz="10" w:color="8B5E3C"/>
        </w:tblBorders>
      </w:tblPr>
      <w:tblGrid>
        <w:gridCol w:w="9360"/>
      </w:tblGrid>
      <w:tr>
        <w:trPr/>
        <w:tc>
          <w:tcPr>
            <w:tcW w:type="dxa" w:w="9360"/>
            <w:tcMar>
              <w:top w:w="120" w:type="dxa"/>
              <w:bottom w:w="120" w:type="dxa"/>
              <w:start w:w="120" w:type="dxa"/>
              <w:end w:w="120" w:type="dxa"/>
            </w:tcMar>
            <w:shd w:fill="EADCC7"/>
          </w:tcPr>
          <w:p>
            <w:pPr>
              <w:spacing w:after="0"/>
            </w:pPr>
            <w:r>
              <w:rPr>
                <w:rFonts w:ascii="Calibri" w:hAnsi="Calibri"/>
                <w:b/>
                <w:i w:val="0"/>
                <w:color w:val="17324D"/>
                <w:sz w:val="20"/>
              </w:rPr>
              <w:t xml:space="preserve">Regla de control de alcance: </w:t>
            </w:r>
            <w:r>
              <w:rPr>
                <w:rFonts w:ascii="Calibri" w:hAnsi="Calibri"/>
                <w:b w:val="0"/>
                <w:i w:val="0"/>
                <w:color w:val="222222"/>
                <w:sz w:val="20"/>
              </w:rPr>
              <w:t>No se incorporará una función nueva hasta que el core loop completo pueda demostrarse de principio a fin.</w:t>
            </w:r>
          </w:p>
        </w:tc>
      </w:tr>
    </w:tbl>
    <w:p>
      <w:pPr>
        <w:spacing w:after="0"/>
      </w:pPr>
    </w:p>
    <w:sectPr w:rsidR="00FC693F" w:rsidRPr="0006063C" w:rsidSect="00034616">
      <w:headerReference w:type="default" r:id="rId9"/>
      <w:footerReference w:type="default" r:id="rId10"/>
      <w:pgSz w:w="12240" w:h="15840"/>
      <w:pgMar w:top="1224" w:right="1440" w:bottom="1152"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06060"/>
        <w:sz w:val="17"/>
      </w:rPr>
      <w:t xml:space="preserve">Memoria interna de cambios | Página </w:t>
    </w:r>
    <w:r>
      <w:rPr>
        <w:rFonts w:ascii="Calibri" w:hAnsi="Calibri"/>
        <w:b w:val="0"/>
        <w:i w:val="0"/>
        <w:color w:val="60606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06060"/>
        <w:sz w:val="17"/>
      </w:rPr>
      <w:t>Equipo Kallami | Documento interno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jc w:val="left"/>
    </w:pPr>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interna de cambios y adiciones del GDD Kallami</dc:title>
  <dc:subject>Coordinación interna del Equipo Kallami</dc:subject>
  <dc:creator>Equipo Kallami</dc:creator>
  <cp:keywords>GDD, cambios, decisiones, Kallami, coordinación interna</cp:keywords>
  <dc:description>Documento interno; no constituye un entregable académico.</dc:description>
  <cp:lastModifiedBy/>
  <cp:revision>1</cp:revision>
  <dcterms:created xsi:type="dcterms:W3CDTF">2013-12-23T23:15:00Z</dcterms:created>
  <dcterms:modified xsi:type="dcterms:W3CDTF">2013-12-23T23:15:00Z</dcterms:modified>
  <cp:category/>
</cp:coreProperties>
</file>