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widowControl/>
      </w:pPr>
      <w:r>
        <w:t>CAPSTONE PROJECT  /  AI DRIVEN DATA SCIENCE</w:t>
      </w:r>
    </w:p>
    <w:p>
      <w:pPr>
        <w:widowControl/>
      </w:pPr>
      <w:r>
        <w:br/>
      </w:r>
    </w:p>
    <w:p>
      <w:pPr>
        <w:pStyle w:val="Title"/>
      </w:pPr>
      <w:r>
        <w:t>BOUNDARY</w:t>
      </w:r>
    </w:p>
    <w:p>
      <w:pPr>
        <w:pStyle w:val="Heading1"/>
      </w:pPr>
      <w:r>
        <w:t>Demonstration and Viva Guide</w:t>
      </w:r>
    </w:p>
    <w:p>
      <w:pPr>
        <w:widowControl/>
      </w:pPr>
      <w:r>
        <w:t>Presentation route · live workflows · examiner questions · submission checklist</w:t>
      </w:r>
    </w:p>
    <w:p>
      <w:pPr>
        <w:widowControl/>
      </w:pPr>
      <w:r>
        <w:br/>
      </w:r>
    </w:p>
    <w:p>
      <w:pPr>
        <w:widowControl/>
      </w:pPr>
      <w:r>
        <w:rPr>
          <w:b/>
          <w:sz w:val="34"/>
        </w:rPr>
        <w:t>B.R. Abishek</w:t>
      </w:r>
    </w:p>
    <w:p>
      <w:pPr>
        <w:widowControl/>
      </w:pPr>
      <w:r>
        <w:t>AI Driven Data Science</w:t>
      </w:r>
    </w:p>
    <w:p>
      <w:pPr>
        <w:widowControl/>
      </w:pPr>
      <w:r>
        <w:t>18 October 2026</w:t>
      </w:r>
    </w:p>
    <w:p>
      <w:pPr>
        <w:widowControl/>
      </w:pPr>
      <w:r>
        <w:br/>
      </w:r>
    </w:p>
    <w:p>
      <w:pPr>
        <w:widowControl/>
        <w:spacing w:before="120"/>
      </w:pPr>
      <w:r>
        <w:rPr>
          <w:color w:val="596B72"/>
          <w:sz w:val="17"/>
        </w:rPr>
        <w:t>Application version 3.0.2</w:t>
        <w:br/>
        <w:t>Frozen implementation commit: 7f891c75fe82b7aff309e0e6d2d7c27117a5470d</w:t>
      </w:r>
    </w:p>
    <w:p>
      <w:pPr>
        <w:widowControl/>
        <w:spacing w:before="120"/>
      </w:pPr>
      <w:r>
        <w:rPr>
          <w:color w:val="596B72"/>
          <w:sz w:val="17"/>
        </w:rPr>
        <w:t>Independent educational project. League and franchise marks identify the subject; no endorsement is implied.</w:t>
      </w:r>
    </w:p>
    <w:p>
      <w:r>
        <w:br w:type="page"/>
      </w:r>
    </w:p>
    <w:p>
      <w:pPr>
        <w:pStyle w:val="Heading1"/>
      </w:pPr>
      <w:r>
        <w:t>1. Recommended presentation route</w:t>
      </w:r>
    </w:p>
    <w:p>
      <w:pPr>
        <w:widowControl/>
      </w:pPr>
      <w:r>
        <w:t>The complete presentation has 34 main slides and ten technical appendix slides. For a shorter review, use the route below, then open the appendix when an examiner asks for a formula or implementation detail. Treat the time allocations as rehearsal targets, not measured timings.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/>
          <w:cantSplit/>
        </w:trPr>
        <w:tc>
          <w:tcPr>
            <w:tcW w:type="dxa" w:w="4872"/>
            <w:shd w:fill="182D32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4872"/>
            <w:shd w:fill="182D32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Slides / suggested time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Problem and scope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1–3, 6 / about 2 minutes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Architecture and bounded agent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8–10 / about 2 minutes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Evidence and planning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12–14, 16–17 / about 3 minutes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Evaluation and limits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21, 25–26 / about 2 minutes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Live demonstration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28–29 / about 4 minutes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Conclusion and questions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32–34 / about 1 minute, then questions</w:t>
            </w:r>
          </w:p>
        </w:tc>
      </w:tr>
    </w:tbl>
    <w:p>
      <w:pPr>
        <w:widowControl/>
      </w:pPr>
    </w:p>
    <w:p>
      <w:pPr>
        <w:widowControl/>
      </w:pPr>
      <w:r>
        <w:t>Opening: “I am B.R. Abishek. Boundary is my capstone in AI Driven Data Science. It helps a cricket analyst inspect scoped evidence, test a legal twenty-over plan and preserve the reasoning. The optional model selects checked facts; the server owns calculations.”</w:t>
      </w:r>
    </w:p>
    <w:p>
      <w:pPr>
        <w:pStyle w:val="Heading2"/>
      </w:pPr>
      <w:r>
        <w:t>Before the session</w:t>
      </w:r>
    </w:p>
    <w:p>
      <w:pPr>
        <w:widowControl/>
      </w:pPr>
      <w:r>
        <w:t>• Open the PPTX in desktop PowerPoint or a compatible viewer and keep the PDF backup. Speaker notes are embedded and also supplied as Markdown.</w:t>
      </w:r>
    </w:p>
    <w:p>
      <w:pPr>
        <w:widowControl/>
      </w:pPr>
      <w:r>
        <w:t>• Run the frozen source locally, open the hosted link separately and confirm which environment is being demonstrated.</w:t>
      </w:r>
    </w:p>
    <w:p>
      <w:pPr>
        <w:widowControl/>
      </w:pPr>
      <w:r>
        <w:t>• Use Local evidence first. Never display an actual API key, private provider balance or unrelated browser account information.</w:t>
      </w:r>
    </w:p>
    <w:p>
      <w:pPr>
        <w:widowControl/>
      </w:pPr>
      <w:r>
        <w:t>• Keep the guide, validation evidence and an exported decision pack ready.</w:t>
      </w:r>
    </w:p>
    <w:p>
      <w:pPr>
        <w:widowControl/>
      </w:pPr>
      <w:r>
        <w:t>• Know the difference between correct archive arithmetic, complete official coverage, functional reliability and tactical usefulness.</w:t>
      </w:r>
    </w:p>
    <w:p>
      <w:r>
        <w:br w:type="page"/>
      </w:r>
    </w:p>
    <w:p>
      <w:pPr>
        <w:pStyle w:val="Heading1"/>
      </w:pPr>
      <w:r>
        <w:t>2. Live workflow A — RCB scouting</w:t>
      </w:r>
    </w:p>
    <w:p>
      <w:pPr>
        <w:widowControl/>
      </w:pPr>
      <w:r>
        <w:t>1. Open Home and click Load RCB example. Confirm the selected desk is RCB.</w:t>
      </w:r>
    </w:p>
    <w:p>
      <w:pPr>
        <w:widowControl/>
      </w:pPr>
      <w:r>
        <w:t>2. Check IPL, Bowling, Death, 120 relevant balls, start 2023-10-18 and cutoff before 2026-10-18.</w:t>
      </w:r>
    </w:p>
    <w:p>
      <w:pPr>
        <w:widowControl/>
      </w:pPr>
      <w:r>
        <w:t>3. Choose Local evidence and Prepare brief. Read raw economy, wickets, legal balls and last relevant match.</w:t>
      </w:r>
    </w:p>
    <w:p>
      <w:pPr>
        <w:widowControl/>
      </w:pPr>
      <w:r>
        <w:t>4. Open the evidence trace. Explain that the descriptive score includes recency, shrinkage and wicket-taking.</w:t>
      </w:r>
    </w:p>
    <w:p>
      <w:pPr>
        <w:widowControl/>
      </w:pPr>
      <w:r>
        <w:t>5. Open Scouting &amp; comparison and compare candidates using identical filters. Explain observed-rate intervals and sample weight.</w:t>
      </w:r>
    </w:p>
    <w:p>
      <w:pPr>
        <w:widowControl/>
      </w:pPr>
      <w:r>
        <w:t>6. State the next checks: availability, registration, acquisition, role fit and video. Save privately and download the brief pack.</w:t>
      </w:r>
    </w:p>
    <w:p>
      <w:pPr>
        <w:pStyle w:val="Heading1"/>
      </w:pPr>
      <w:r>
        <w:t>3. Live workflow B — MI without Bumrah</w:t>
      </w:r>
    </w:p>
    <w:p>
      <w:pPr>
        <w:widowControl/>
      </w:pPr>
      <w:r>
        <w:t>1. Return Home and click Load MI scenario. Check Jasprit Bumrah is in Unavailable / exclude.</w:t>
      </w:r>
    </w:p>
    <w:p>
      <w:pPr>
        <w:widowControl/>
      </w:pPr>
      <w:r>
        <w:t>2. Open Squad &amp; auction scenarios and inspect dated-status warnings, eleven selected players and active role minima.</w:t>
      </w:r>
    </w:p>
    <w:p>
      <w:pPr>
        <w:widowControl/>
      </w:pPr>
      <w:r>
        <w:t>3. Open Over-by-over plan. Confirm twenty overs, 120 legal balls, at most four overs per bowler and no consecutive repeat.</w:t>
      </w:r>
    </w:p>
    <w:p>
      <w:pPr>
        <w:widowControl/>
      </w:pPr>
      <w:r>
        <w:t>4. Force an alternative or try an impossible budget. Read the supported counterfactual or explicit constraint explanation.</w:t>
      </w:r>
    </w:p>
    <w:p>
      <w:pPr>
        <w:widowControl/>
      </w:pPr>
      <w:r>
        <w:t>5. Download the plan pack and show manifest.json, schedule.csv and checks.json.</w:t>
      </w:r>
    </w:p>
    <w:p>
      <w:pPr>
        <w:pStyle w:val="Heading2"/>
      </w:pPr>
      <w:r>
        <w:t>Two short credibility checks</w:t>
      </w:r>
    </w:p>
    <w:p>
      <w:pPr>
        <w:widowControl/>
      </w:pPr>
      <w:r>
        <w:t>Kohli dossier: compare 114 Death-phase runs with 2,073 all-phase runs in the same window, then the 9,336-run supplied IPL overview. Search Rohit Sharma and show the explicit identity selection. In Match research, show the failed stronger-baseline gate and explain why the baseline is displayed.</w:t>
      </w:r>
    </w:p>
    <w:p>
      <w:r>
        <w:br w:type="page"/>
      </w:r>
    </w:p>
    <w:p>
      <w:pPr>
        <w:pStyle w:val="Heading1"/>
      </w:pPr>
      <w:r>
        <w:t>4. Examiner questions and direct answers</w:t>
      </w:r>
    </w:p>
    <w:p>
      <w:pPr>
        <w:pStyle w:val="Heading3"/>
      </w:pPr>
      <w:r>
        <w:t>What makes this an AI agent?</w:t>
      </w:r>
    </w:p>
    <w:p>
      <w:pPr>
        <w:widowControl/>
      </w:pPr>
      <w:r>
        <w:t>It is an application-controlled workflow: confirm task, run one permitted evidence tool, validate facts, optionally let DeepSeek select fact IDs, then render a checked brief. It is deliberately bounded rather than an unrestricted autonomous manager.</w:t>
      </w:r>
    </w:p>
    <w:p>
      <w:pPr>
        <w:pStyle w:val="Heading3"/>
      </w:pPr>
      <w:r>
        <w:t>Did you train DeepSeek?</w:t>
      </w:r>
    </w:p>
    <w:p>
      <w:pPr>
        <w:widowControl/>
      </w:pPr>
      <w:r>
        <w:t>No. The project calls an existing API optionally. It does not fine-tune a foundation model.</w:t>
      </w:r>
    </w:p>
    <w:p>
      <w:pPr>
        <w:pStyle w:val="Heading3"/>
      </w:pPr>
      <w:r>
        <w:t>Is this a vector-database RAG system?</w:t>
      </w:r>
    </w:p>
    <w:p>
      <w:pPr>
        <w:widowControl/>
      </w:pPr>
      <w:r>
        <w:t>No. Retrieval uses structured match records, registry IDs and DataFrame filtering/aggregation. There is no vector database in this implementation.</w:t>
      </w:r>
    </w:p>
    <w:p>
      <w:pPr>
        <w:pStyle w:val="Heading3"/>
      </w:pPr>
      <w:r>
        <w:t>Why use the model if calculations are deterministic?</w:t>
      </w:r>
    </w:p>
    <w:p>
      <w:pPr>
        <w:widowControl/>
      </w:pPr>
      <w:r>
        <w:t>The optional model selects relevant supplied fact IDs and approved review actions. The server retains numerical truth and completeness; Local evidence is also available.</w:t>
      </w:r>
    </w:p>
    <w:p>
      <w:pPr>
        <w:pStyle w:val="Heading3"/>
      </w:pPr>
      <w:r>
        <w:t>Is the top score the best player?</w:t>
      </w:r>
    </w:p>
    <w:p>
      <w:pPr>
        <w:widowControl/>
      </w:pPr>
      <w:r>
        <w:t>No. It is a descriptive rank under selected dates, competition, phase and declared weights. It does not prove availability, tactical fit, future performance or value.</w:t>
      </w:r>
    </w:p>
    <w:p>
      <w:pPr>
        <w:pStyle w:val="Heading3"/>
      </w:pPr>
      <w:r>
        <w:t>Why can a worse raw economy rank first?</w:t>
      </w:r>
    </w:p>
    <w:p>
      <w:pPr>
        <w:widowControl/>
      </w:pPr>
      <w:r>
        <w:t>The bowling score also rewards recency-weighted wicket rate and uses a 120-ball prior. Inspect raw values and the formula; the coefficients are heuristics.</w:t>
      </w:r>
    </w:p>
    <w:p>
      <w:pPr>
        <w:pStyle w:val="Heading3"/>
      </w:pPr>
      <w:r>
        <w:t>Why does Kohli show different runs?</w:t>
      </w:r>
    </w:p>
    <w:p>
      <w:pPr>
        <w:widowControl/>
      </w:pPr>
      <w:r>
        <w:t>Different scope: 114 is Death-phase IPL runs in the selected window; 2,073 includes all phases in that window; 9,336 is all supplied IPL evidence. Coverage remains an archive claim.</w:t>
      </w:r>
    </w:p>
    <w:p>
      <w:r>
        <w:br w:type="page"/>
      </w:r>
    </w:p>
    <w:p>
      <w:pPr>
        <w:pStyle w:val="Heading1"/>
      </w:pPr>
      <w:r>
        <w:t>5. Further viva questions</w:t>
      </w:r>
    </w:p>
    <w:p>
      <w:pPr>
        <w:pStyle w:val="Heading3"/>
      </w:pPr>
      <w:r>
        <w:t>How do you prevent future-data leakage?</w:t>
      </w:r>
    </w:p>
    <w:p>
      <w:pPr>
        <w:widowControl/>
      </w:pPr>
      <w:r>
        <w:t>Queries use a strict exclusive cutoff. Forecast features use past outcomes and all games on a date are predicted before that date updates state.</w:t>
      </w:r>
    </w:p>
    <w:p>
      <w:pPr>
        <w:pStyle w:val="Heading3"/>
      </w:pPr>
      <w:r>
        <w:t>Why not show the more complex forecast?</w:t>
      </w:r>
    </w:p>
    <w:p>
      <w:pPr>
        <w:widowControl/>
      </w:pPr>
      <w:r>
        <w:t>Its held-out Brier is 0.248577, worse than the baseline’s 0.247619. The gate needs improvement in both validation and test, so the baseline remains.</w:t>
      </w:r>
    </w:p>
    <w:p>
      <w:pPr>
        <w:pStyle w:val="Heading3"/>
      </w:pPr>
      <w:r>
        <w:t>Do 68 passes mean professional accuracy?</w:t>
      </w:r>
    </w:p>
    <w:p>
      <w:pPr>
        <w:widowControl/>
      </w:pPr>
      <w:r>
        <w:t>No. They establish tested local behaviour. Raw reconciliation establishes consistency with supplied records. Official checks show gaps, and tactical usefulness needs independent human evaluation.</w:t>
      </w:r>
    </w:p>
    <w:p>
      <w:pPr>
        <w:pStyle w:val="Heading3"/>
      </w:pPr>
      <w:r>
        <w:t>What about current squads?</w:t>
      </w:r>
    </w:p>
    <w:p>
      <w:pPr>
        <w:widowControl/>
      </w:pPr>
      <w:r>
        <w:t>The 2026 research pool has partial dated review. Fourteen selected notices apply, seven documented replacements lack verified metadata, and full current eligibility is not certified.</w:t>
      </w:r>
    </w:p>
    <w:p>
      <w:pPr>
        <w:pStyle w:val="Heading3"/>
      </w:pPr>
      <w:r>
        <w:t>Where are credentials stored?</w:t>
      </w:r>
    </w:p>
    <w:p>
      <w:pPr>
        <w:widowControl/>
      </w:pPr>
      <w:r>
        <w:t>Private local/hosting Secrets or a temporary password field. Actual keys are excluded from source, logs supplied here and exports.</w:t>
      </w:r>
    </w:p>
    <w:p>
      <w:pPr>
        <w:pStyle w:val="Heading3"/>
      </w:pPr>
      <w:r>
        <w:t>Can the model change a team or price?</w:t>
      </w:r>
    </w:p>
    <w:p>
      <w:pPr>
        <w:widowControl/>
      </w:pPr>
      <w:r>
        <w:t>No. Tools and arguments are fixed from confirmed controls. Only valid fact IDs and approved actions are accepted from the model.</w:t>
      </w:r>
    </w:p>
    <w:p>
      <w:pPr>
        <w:pStyle w:val="Heading3"/>
      </w:pPr>
      <w:r>
        <w:t>How do you validate an XI?</w:t>
      </w:r>
    </w:p>
    <w:p>
      <w:pPr>
        <w:widowControl/>
      </w:pPr>
      <w:r>
        <w:t>A mixed-integer solve enforces selection and every-over rules; a separate validator checks the returned plan, including caps and no adjacent repeat.</w:t>
      </w:r>
    </w:p>
    <w:p>
      <w:pPr>
        <w:pStyle w:val="Heading3"/>
      </w:pPr>
      <w:r>
        <w:t>What remains as future work?</w:t>
      </w:r>
    </w:p>
    <w:p>
      <w:pPr>
        <w:widowControl/>
      </w:pPr>
      <w:r>
        <w:t>Complete data and registry verification, independent scout/analyst reviews, role-aware evaluation, monitored hosted/provider behaviour and authenticated durable team storage.</w:t>
      </w:r>
    </w:p>
    <w:p>
      <w:r>
        <w:br w:type="page"/>
      </w:r>
    </w:p>
    <w:p>
      <w:pPr>
        <w:pStyle w:val="Heading1"/>
      </w:pPr>
      <w:r>
        <w:t>6. Capstone submission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/>
          <w:cantSplit/>
        </w:trPr>
        <w:tc>
          <w:tcPr>
            <w:tcW w:type="dxa" w:w="4872"/>
            <w:shd w:fill="182D32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72"/>
            <w:shd w:fill="182D32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Action before submission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Editable presentation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Submit PPTX and PDF; confirm presenter name and readable charts.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Project report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Submit DOCX/PDF as required; align cover/front matter with your institution.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Source package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Extract and run the frozen ZIP; retain requirements, data, assets and tests.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Evidence and user guide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Include completed test evidence and the operating/reproduction guide.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Identity and approvals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Add actual register number, institution, department, guide and academic year if required. Obtain genuine prescribed signatures/certificates.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Academic disclosure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Follow the institution’s rules for coding/writing assistance and contribution statements; do not fabricate authorship or approvals.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Links and demo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Verify the repository and hosted app before the review; keep a working local demo.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Integrity and privacy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Keep SHA256SUMS and manifests; exclude actual keys and private runtime journals.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Portal requirements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Check size limits, file naming, plagiarism/disclosure forms and any required recorded demo.</w:t>
            </w:r>
          </w:p>
        </w:tc>
      </w:tr>
    </w:tbl>
    <w:p>
      <w:pPr>
        <w:widowControl/>
      </w:pPr>
    </w:p>
    <w:p>
      <w:pPr>
        <w:widowControl/>
      </w:pPr>
      <w:r>
        <w:t>No demo video or signed institutional certificate has been fabricated. If your course requires a video, record the two workflows above and explain scope, source limits and the model gate in your own words. The frozen source is sufficient for a local recording.</w:t>
      </w:r>
    </w:p>
    <w:p>
      <w:pPr>
        <w:widowControl/>
        <w:spacing w:before="120"/>
      </w:pPr>
      <w:r>
        <w:rPr>
          <w:color w:val="596B72"/>
          <w:sz w:val="17"/>
        </w:rPr>
        <w:t>See START_HERE.md for the exact package file map and reproduction commands.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80" w:bottom="979" w:left="108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B72"/>
        <w:sz w:val="16"/>
      </w:rPr>
      <w:t xml:space="preserve">B.R. Abishek  ·  v3.0.2  /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96B72"/>
        <w:sz w:val="16"/>
      </w:rPr>
      <w:t>BOUNDARY  /  DEMO AND VIVA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Liberation Sans" w:hAnsi="Liberation Sans"/>
      <w:color w:val="182D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240"/>
      <w:outlineLvl w:val="0"/>
    </w:pPr>
    <w:rPr>
      <w:rFonts w:ascii="Liberation Serif" w:hAnsi="Liberation Serif"/>
      <w:b/>
      <w:bCs/>
      <w:color w:val="182D32"/>
      <w:sz w:val="44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="Liberation Sans" w:hAnsi="Liberation Sans"/>
      <w:b/>
      <w:bCs/>
      <w:color w:val="176B55"/>
      <w:sz w:val="30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240"/>
      <w:outlineLvl w:val="2"/>
    </w:pPr>
    <w:rPr>
      <w:rFonts w:ascii="Liberation Sans" w:hAnsi="Liberation Sans"/>
      <w:b/>
      <w:bCs/>
      <w:color w:val="182D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pBdr>
        <w:bottom w:val="single" w:sz="8" w:space="4" w:color="176B55"/>
      </w:pBdr>
      <w:spacing w:after="240" w:line="240" w:lineRule="auto"/>
      <w:contextualSpacing/>
    </w:pPr>
    <w:rPr>
      <w:rFonts w:ascii="Liberation Serif" w:hAnsi="Liberation Serif"/>
      <w:color w:val="182D3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C693F"/>
    <w:pPr>
      <w:numPr>
        <w:ilvl w:val="1"/>
      </w:numPr>
    </w:pPr>
    <w:rPr>
      <w:rFonts w:ascii="Liberation Sans" w:hAnsi="Liberation Sans"/>
      <w:i w:val="0"/>
      <w:iCs/>
      <w:color w:val="176B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Liberation Sans" w:hAnsi="Liberation Sans"/>
      <w:color w:val="182D3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96B7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and Viva Guide</dc:title>
  <dc:subject>AI Driven Data Science capstone project</dc:subject>
  <dc:creator>B.R. Abishek</dc:creator>
  <cp:keywords>Boundary, cricket analytics, capstone, constrained AI, reproducible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