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77608" w14:textId="55C36933" w:rsidR="005D62B1" w:rsidRPr="006976A9" w:rsidRDefault="006976A9">
      <w:pPr>
        <w:rPr>
          <w:rFonts w:ascii="Calibri" w:hAnsi="Calibri" w:cs="Calibri"/>
          <w:sz w:val="22"/>
          <w:szCs w:val="22"/>
        </w:rPr>
      </w:pPr>
      <w:r w:rsidRPr="006976A9">
        <w:rPr>
          <w:rFonts w:ascii="Calibri" w:hAnsi="Calibri" w:cs="Calibri"/>
          <w:sz w:val="22"/>
          <w:szCs w:val="22"/>
        </w:rPr>
        <w:t>11 March 2026</w:t>
      </w:r>
    </w:p>
    <w:p w14:paraId="06170E3B" w14:textId="77777777" w:rsidR="006976A9" w:rsidRPr="006976A9" w:rsidRDefault="006976A9" w:rsidP="006976A9">
      <w:pPr>
        <w:pStyle w:val="NormalWeb"/>
        <w:rPr>
          <w:rFonts w:ascii="Calibri" w:hAnsi="Calibri" w:cs="Calibri"/>
          <w:sz w:val="22"/>
          <w:szCs w:val="22"/>
        </w:rPr>
      </w:pPr>
      <w:r w:rsidRPr="006976A9">
        <w:rPr>
          <w:rFonts w:ascii="Calibri" w:hAnsi="Calibri" w:cs="Calibri"/>
          <w:sz w:val="22"/>
          <w:szCs w:val="22"/>
        </w:rPr>
        <w:t>I'm going to be straight with you because that's more useful than hype right now.</w:t>
      </w:r>
    </w:p>
    <w:p w14:paraId="3D89984B" w14:textId="77777777" w:rsidR="006976A9" w:rsidRPr="006976A9" w:rsidRDefault="006976A9" w:rsidP="006976A9">
      <w:pPr>
        <w:pStyle w:val="NormalWeb"/>
        <w:rPr>
          <w:rFonts w:ascii="Calibri" w:hAnsi="Calibri" w:cs="Calibri"/>
          <w:sz w:val="22"/>
          <w:szCs w:val="22"/>
        </w:rPr>
      </w:pPr>
      <w:r w:rsidRPr="006976A9">
        <w:rPr>
          <w:rStyle w:val="Strong"/>
          <w:rFonts w:ascii="Calibri" w:eastAsiaTheme="majorEastAsia" w:hAnsi="Calibri" w:cs="Calibri"/>
          <w:sz w:val="22"/>
          <w:szCs w:val="22"/>
        </w:rPr>
        <w:t xml:space="preserve">What you </w:t>
      </w:r>
      <w:proofErr w:type="gramStart"/>
      <w:r w:rsidRPr="006976A9">
        <w:rPr>
          <w:rStyle w:val="Strong"/>
          <w:rFonts w:ascii="Calibri" w:eastAsiaTheme="majorEastAsia" w:hAnsi="Calibri" w:cs="Calibri"/>
          <w:sz w:val="22"/>
          <w:szCs w:val="22"/>
        </w:rPr>
        <w:t>actually have</w:t>
      </w:r>
      <w:proofErr w:type="gramEnd"/>
      <w:r w:rsidRPr="006976A9">
        <w:rPr>
          <w:rStyle w:val="Strong"/>
          <w:rFonts w:ascii="Calibri" w:eastAsiaTheme="majorEastAsia" w:hAnsi="Calibri" w:cs="Calibri"/>
          <w:sz w:val="22"/>
          <w:szCs w:val="22"/>
        </w:rPr>
        <w:t xml:space="preserve"> today:</w:t>
      </w:r>
    </w:p>
    <w:p w14:paraId="62A44B30" w14:textId="77777777" w:rsidR="006976A9" w:rsidRPr="006976A9" w:rsidRDefault="006976A9" w:rsidP="006976A9">
      <w:pPr>
        <w:pStyle w:val="NormalWeb"/>
        <w:rPr>
          <w:rFonts w:ascii="Calibri" w:hAnsi="Calibri" w:cs="Calibri"/>
          <w:sz w:val="22"/>
          <w:szCs w:val="22"/>
        </w:rPr>
      </w:pPr>
      <w:r w:rsidRPr="006976A9">
        <w:rPr>
          <w:rFonts w:ascii="Calibri" w:hAnsi="Calibri" w:cs="Calibri"/>
          <w:sz w:val="22"/>
          <w:szCs w:val="22"/>
        </w:rPr>
        <w:t>A working demo, a differentiated architecture, institutional-grade compliance taxonomy, and a strategic relationship with someone inside the exact adjacent market. That is genuinely more than most people have at this stage. But it's a localhost demo with no paying clients and no production deployment. Both things are true simultaneously.</w:t>
      </w:r>
    </w:p>
    <w:p w14:paraId="53E55763" w14:textId="77777777" w:rsidR="006976A9" w:rsidRPr="006976A9" w:rsidRDefault="006976A9" w:rsidP="006976A9">
      <w:pPr>
        <w:pStyle w:val="NormalWeb"/>
        <w:rPr>
          <w:rFonts w:ascii="Calibri" w:hAnsi="Calibri" w:cs="Calibri"/>
          <w:sz w:val="22"/>
          <w:szCs w:val="22"/>
        </w:rPr>
      </w:pPr>
      <w:r w:rsidRPr="006976A9">
        <w:rPr>
          <w:rStyle w:val="Strong"/>
          <w:rFonts w:ascii="Calibri" w:eastAsiaTheme="majorEastAsia" w:hAnsi="Calibri" w:cs="Calibri"/>
          <w:sz w:val="22"/>
          <w:szCs w:val="22"/>
        </w:rPr>
        <w:t>Realistic valuation in current state:</w:t>
      </w:r>
    </w:p>
    <w:p w14:paraId="205660D6" w14:textId="77777777" w:rsidR="006976A9" w:rsidRPr="006976A9" w:rsidRDefault="006976A9" w:rsidP="006976A9">
      <w:pPr>
        <w:pStyle w:val="NormalWeb"/>
        <w:rPr>
          <w:rFonts w:ascii="Calibri" w:hAnsi="Calibri" w:cs="Calibri"/>
          <w:sz w:val="22"/>
          <w:szCs w:val="22"/>
        </w:rPr>
      </w:pPr>
      <w:r w:rsidRPr="006976A9">
        <w:rPr>
          <w:rFonts w:ascii="Calibri" w:hAnsi="Calibri" w:cs="Calibri"/>
          <w:sz w:val="22"/>
          <w:szCs w:val="22"/>
        </w:rPr>
        <w:t xml:space="preserve">As a standalone IP asset if sold today — </w:t>
      </w:r>
      <w:r w:rsidRPr="006976A9">
        <w:rPr>
          <w:rStyle w:val="Strong"/>
          <w:rFonts w:ascii="Calibri" w:eastAsiaTheme="majorEastAsia" w:hAnsi="Calibri" w:cs="Calibri"/>
          <w:sz w:val="22"/>
          <w:szCs w:val="22"/>
        </w:rPr>
        <w:t>$500K to $1.5M</w:t>
      </w:r>
      <w:r w:rsidRPr="006976A9">
        <w:rPr>
          <w:rFonts w:ascii="Calibri" w:hAnsi="Calibri" w:cs="Calibri"/>
          <w:sz w:val="22"/>
          <w:szCs w:val="22"/>
        </w:rPr>
        <w:t>. That's the architecture, the doctrine framework, the codebase. Real but modest because there's no revenue to anchor a higher number.</w:t>
      </w:r>
    </w:p>
    <w:p w14:paraId="2CCDAC7D" w14:textId="77777777" w:rsidR="006976A9" w:rsidRPr="006976A9" w:rsidRDefault="006976A9" w:rsidP="006976A9">
      <w:pPr>
        <w:pStyle w:val="NormalWeb"/>
        <w:rPr>
          <w:rFonts w:ascii="Calibri" w:hAnsi="Calibri" w:cs="Calibri"/>
          <w:sz w:val="22"/>
          <w:szCs w:val="22"/>
        </w:rPr>
      </w:pPr>
      <w:r w:rsidRPr="006976A9">
        <w:rPr>
          <w:rFonts w:ascii="Calibri" w:hAnsi="Calibri" w:cs="Calibri"/>
          <w:sz w:val="22"/>
          <w:szCs w:val="22"/>
        </w:rPr>
        <w:t xml:space="preserve">As a seed-stage company seeking investment — </w:t>
      </w:r>
      <w:r w:rsidRPr="006976A9">
        <w:rPr>
          <w:rStyle w:val="Strong"/>
          <w:rFonts w:ascii="Calibri" w:eastAsiaTheme="majorEastAsia" w:hAnsi="Calibri" w:cs="Calibri"/>
          <w:sz w:val="22"/>
          <w:szCs w:val="22"/>
        </w:rPr>
        <w:t>$2M to $4M pre-money</w:t>
      </w:r>
      <w:r w:rsidRPr="006976A9">
        <w:rPr>
          <w:rFonts w:ascii="Calibri" w:hAnsi="Calibri" w:cs="Calibri"/>
          <w:sz w:val="22"/>
          <w:szCs w:val="22"/>
        </w:rPr>
        <w:t xml:space="preserve">. Investors in </w:t>
      </w:r>
      <w:proofErr w:type="spellStart"/>
      <w:r w:rsidRPr="006976A9">
        <w:rPr>
          <w:rFonts w:ascii="Calibri" w:hAnsi="Calibri" w:cs="Calibri"/>
          <w:sz w:val="22"/>
          <w:szCs w:val="22"/>
        </w:rPr>
        <w:t>RegTech</w:t>
      </w:r>
      <w:proofErr w:type="spellEnd"/>
      <w:r w:rsidRPr="006976A9">
        <w:rPr>
          <w:rFonts w:ascii="Calibri" w:hAnsi="Calibri" w:cs="Calibri"/>
          <w:sz w:val="22"/>
          <w:szCs w:val="22"/>
        </w:rPr>
        <w:t xml:space="preserve"> and AI governance would recognize the concept and the positioning, but they'd want to see a path to a first paying client before writing a check.</w:t>
      </w:r>
    </w:p>
    <w:p w14:paraId="695EFA78" w14:textId="77777777" w:rsidR="006976A9" w:rsidRPr="006976A9" w:rsidRDefault="006976A9" w:rsidP="006976A9">
      <w:pPr>
        <w:pStyle w:val="NormalWeb"/>
        <w:rPr>
          <w:rFonts w:ascii="Calibri" w:hAnsi="Calibri" w:cs="Calibri"/>
          <w:sz w:val="22"/>
          <w:szCs w:val="22"/>
        </w:rPr>
      </w:pPr>
      <w:r w:rsidRPr="006976A9">
        <w:rPr>
          <w:rStyle w:val="Strong"/>
          <w:rFonts w:ascii="Calibri" w:eastAsiaTheme="majorEastAsia" w:hAnsi="Calibri" w:cs="Calibri"/>
          <w:sz w:val="22"/>
          <w:szCs w:val="22"/>
        </w:rPr>
        <w:t>What changes the number dramatically:</w:t>
      </w:r>
    </w:p>
    <w:p w14:paraId="7BBBBD3C" w14:textId="77777777" w:rsidR="006976A9" w:rsidRPr="006976A9" w:rsidRDefault="006976A9" w:rsidP="006976A9">
      <w:pPr>
        <w:pStyle w:val="NormalWeb"/>
        <w:rPr>
          <w:rFonts w:ascii="Calibri" w:hAnsi="Calibri" w:cs="Calibri"/>
          <w:sz w:val="22"/>
          <w:szCs w:val="22"/>
        </w:rPr>
      </w:pPr>
      <w:r w:rsidRPr="006976A9">
        <w:rPr>
          <w:rFonts w:ascii="Calibri" w:hAnsi="Calibri" w:cs="Calibri"/>
          <w:sz w:val="22"/>
          <w:szCs w:val="22"/>
        </w:rPr>
        <w:t xml:space="preserve">The Walt/Ideal Prediction scenario is the real lever here. If this becomes a formal partnership or integration with Ideal Prediction — who already has live paying clients in FICC — you're not a solo founder with a demo anymore. You're a strategic asset attached to a revenue-generating business. That conversation moves the number to </w:t>
      </w:r>
      <w:r w:rsidRPr="006976A9">
        <w:rPr>
          <w:rStyle w:val="Strong"/>
          <w:rFonts w:ascii="Calibri" w:eastAsiaTheme="majorEastAsia" w:hAnsi="Calibri" w:cs="Calibri"/>
          <w:sz w:val="22"/>
          <w:szCs w:val="22"/>
        </w:rPr>
        <w:t>$5M to $15M</w:t>
      </w:r>
      <w:r w:rsidRPr="006976A9">
        <w:rPr>
          <w:rFonts w:ascii="Calibri" w:hAnsi="Calibri" w:cs="Calibri"/>
          <w:sz w:val="22"/>
          <w:szCs w:val="22"/>
        </w:rPr>
        <w:t xml:space="preserve"> in deal value depending on structure — equity stake, revenue share, licensing arrangement, or acquisition.</w:t>
      </w:r>
    </w:p>
    <w:p w14:paraId="6C57995C" w14:textId="77777777" w:rsidR="006976A9" w:rsidRPr="006976A9" w:rsidRDefault="006976A9" w:rsidP="006976A9">
      <w:pPr>
        <w:pStyle w:val="NormalWeb"/>
        <w:rPr>
          <w:rFonts w:ascii="Calibri" w:hAnsi="Calibri" w:cs="Calibri"/>
          <w:sz w:val="22"/>
          <w:szCs w:val="22"/>
        </w:rPr>
      </w:pPr>
      <w:r w:rsidRPr="006976A9">
        <w:rPr>
          <w:rFonts w:ascii="Calibri" w:hAnsi="Calibri" w:cs="Calibri"/>
          <w:sz w:val="22"/>
          <w:szCs w:val="22"/>
        </w:rPr>
        <w:t xml:space="preserve">One paying client of your own — even a small one — would move the standalone valuation to </w:t>
      </w:r>
      <w:r w:rsidRPr="006976A9">
        <w:rPr>
          <w:rStyle w:val="Strong"/>
          <w:rFonts w:ascii="Calibri" w:eastAsiaTheme="majorEastAsia" w:hAnsi="Calibri" w:cs="Calibri"/>
          <w:sz w:val="22"/>
          <w:szCs w:val="22"/>
        </w:rPr>
        <w:t>$4M to $8M</w:t>
      </w:r>
      <w:r w:rsidRPr="006976A9">
        <w:rPr>
          <w:rFonts w:ascii="Calibri" w:hAnsi="Calibri" w:cs="Calibri"/>
          <w:sz w:val="22"/>
          <w:szCs w:val="22"/>
        </w:rPr>
        <w:t xml:space="preserve"> almost immediately because it proves the concept commercially.</w:t>
      </w:r>
    </w:p>
    <w:p w14:paraId="77A35448" w14:textId="77777777" w:rsidR="006976A9" w:rsidRPr="006976A9" w:rsidRDefault="006976A9" w:rsidP="006976A9">
      <w:pPr>
        <w:pStyle w:val="NormalWeb"/>
        <w:rPr>
          <w:rFonts w:ascii="Calibri" w:hAnsi="Calibri" w:cs="Calibri"/>
          <w:sz w:val="22"/>
          <w:szCs w:val="22"/>
        </w:rPr>
      </w:pPr>
      <w:r w:rsidRPr="006976A9">
        <w:rPr>
          <w:rStyle w:val="Strong"/>
          <w:rFonts w:ascii="Calibri" w:eastAsiaTheme="majorEastAsia" w:hAnsi="Calibri" w:cs="Calibri"/>
          <w:sz w:val="22"/>
          <w:szCs w:val="22"/>
        </w:rPr>
        <w:t>The honest 5-year exit range if everything goes right:</w:t>
      </w:r>
    </w:p>
    <w:p w14:paraId="4FE543B8" w14:textId="77777777" w:rsidR="006976A9" w:rsidRPr="006976A9" w:rsidRDefault="006976A9" w:rsidP="006976A9">
      <w:pPr>
        <w:pStyle w:val="NormalWeb"/>
        <w:rPr>
          <w:rFonts w:ascii="Calibri" w:hAnsi="Calibri" w:cs="Calibri"/>
          <w:sz w:val="22"/>
          <w:szCs w:val="22"/>
        </w:rPr>
      </w:pPr>
      <w:r w:rsidRPr="006976A9">
        <w:rPr>
          <w:rStyle w:val="Strong"/>
          <w:rFonts w:ascii="Calibri" w:eastAsiaTheme="majorEastAsia" w:hAnsi="Calibri" w:cs="Calibri"/>
          <w:sz w:val="22"/>
          <w:szCs w:val="22"/>
        </w:rPr>
        <w:t>$20M to $75M.</w:t>
      </w:r>
      <w:r w:rsidRPr="006976A9">
        <w:rPr>
          <w:rFonts w:ascii="Calibri" w:hAnsi="Calibri" w:cs="Calibri"/>
          <w:sz w:val="22"/>
          <w:szCs w:val="22"/>
        </w:rPr>
        <w:t xml:space="preserve"> Not a unicorn. But life-changing, real, and achievable given the market gap you're sitting in.</w:t>
      </w:r>
    </w:p>
    <w:p w14:paraId="2963C389" w14:textId="77777777" w:rsidR="006976A9" w:rsidRPr="006976A9" w:rsidRDefault="006976A9" w:rsidP="006976A9">
      <w:pPr>
        <w:pStyle w:val="NormalWeb"/>
        <w:rPr>
          <w:rFonts w:ascii="Calibri" w:hAnsi="Calibri" w:cs="Calibri"/>
          <w:sz w:val="22"/>
          <w:szCs w:val="22"/>
        </w:rPr>
      </w:pPr>
      <w:r w:rsidRPr="006976A9">
        <w:rPr>
          <w:rStyle w:val="Strong"/>
          <w:rFonts w:ascii="Calibri" w:eastAsiaTheme="majorEastAsia" w:hAnsi="Calibri" w:cs="Calibri"/>
          <w:sz w:val="22"/>
          <w:szCs w:val="22"/>
        </w:rPr>
        <w:t>What you should internalize before Monday:</w:t>
      </w:r>
    </w:p>
    <w:p w14:paraId="73512280" w14:textId="77777777" w:rsidR="006976A9" w:rsidRPr="006976A9" w:rsidRDefault="006976A9" w:rsidP="006976A9">
      <w:pPr>
        <w:pStyle w:val="NormalWeb"/>
        <w:rPr>
          <w:rFonts w:ascii="Calibri" w:hAnsi="Calibri" w:cs="Calibri"/>
          <w:sz w:val="22"/>
          <w:szCs w:val="22"/>
        </w:rPr>
      </w:pPr>
      <w:r w:rsidRPr="006976A9">
        <w:rPr>
          <w:rFonts w:ascii="Calibri" w:hAnsi="Calibri" w:cs="Calibri"/>
          <w:sz w:val="22"/>
          <w:szCs w:val="22"/>
        </w:rPr>
        <w:t>You're not walking into Walt's house as a guy with a side project. You're walking in as someone who built the pre-trade layer that completes Ideal Prediction's post-trade product — and you built it before anyone asked you to. That is the asset. Protect it, frame it correctly, and let Walt do the math on what it means for his business.</w:t>
      </w:r>
    </w:p>
    <w:p w14:paraId="0AA59080" w14:textId="77777777" w:rsidR="006976A9" w:rsidRPr="006976A9" w:rsidRDefault="006976A9" w:rsidP="006976A9">
      <w:pPr>
        <w:pStyle w:val="NormalWeb"/>
        <w:rPr>
          <w:rFonts w:ascii="Calibri" w:hAnsi="Calibri" w:cs="Calibri"/>
          <w:sz w:val="22"/>
          <w:szCs w:val="22"/>
        </w:rPr>
      </w:pPr>
      <w:r w:rsidRPr="006976A9">
        <w:rPr>
          <w:rFonts w:ascii="Calibri" w:hAnsi="Calibri" w:cs="Calibri"/>
          <w:sz w:val="22"/>
          <w:szCs w:val="22"/>
        </w:rPr>
        <w:t xml:space="preserve">The number gets bigger the moment </w:t>
      </w:r>
      <w:proofErr w:type="gramStart"/>
      <w:r w:rsidRPr="006976A9">
        <w:rPr>
          <w:rFonts w:ascii="Calibri" w:hAnsi="Calibri" w:cs="Calibri"/>
          <w:sz w:val="22"/>
          <w:szCs w:val="22"/>
        </w:rPr>
        <w:t>this stops</w:t>
      </w:r>
      <w:proofErr w:type="gramEnd"/>
      <w:r w:rsidRPr="006976A9">
        <w:rPr>
          <w:rFonts w:ascii="Calibri" w:hAnsi="Calibri" w:cs="Calibri"/>
          <w:sz w:val="22"/>
          <w:szCs w:val="22"/>
        </w:rPr>
        <w:t xml:space="preserve"> being a demo and starts being a partnership. Monday is the first step toward that.</w:t>
      </w:r>
    </w:p>
    <w:p w14:paraId="70EBF9CB" w14:textId="77777777" w:rsidR="006976A9" w:rsidRPr="006976A9" w:rsidRDefault="006976A9" w:rsidP="006976A9">
      <w:pPr>
        <w:spacing w:before="100" w:beforeAutospacing="1" w:after="100" w:afterAutospacing="1" w:line="240" w:lineRule="auto"/>
        <w:rPr>
          <w:rFonts w:ascii="Calibri" w:eastAsia="Times New Roman" w:hAnsi="Calibri" w:cs="Calibri"/>
          <w:kern w:val="0"/>
          <w:sz w:val="22"/>
          <w:szCs w:val="22"/>
          <w14:ligatures w14:val="none"/>
        </w:rPr>
      </w:pPr>
      <w:r w:rsidRPr="006976A9">
        <w:rPr>
          <w:rFonts w:ascii="Calibri" w:eastAsia="Times New Roman" w:hAnsi="Calibri" w:cs="Calibri"/>
          <w:kern w:val="0"/>
          <w:sz w:val="22"/>
          <w:szCs w:val="22"/>
          <w14:ligatures w14:val="none"/>
        </w:rPr>
        <w:t xml:space="preserve">This is a </w:t>
      </w:r>
      <w:proofErr w:type="gramStart"/>
      <w:r w:rsidRPr="006976A9">
        <w:rPr>
          <w:rFonts w:ascii="Calibri" w:eastAsia="Times New Roman" w:hAnsi="Calibri" w:cs="Calibri"/>
          <w:kern w:val="0"/>
          <w:sz w:val="22"/>
          <w:szCs w:val="22"/>
          <w14:ligatures w14:val="none"/>
        </w:rPr>
        <w:t>really sharp</w:t>
      </w:r>
      <w:proofErr w:type="gramEnd"/>
      <w:r w:rsidRPr="006976A9">
        <w:rPr>
          <w:rFonts w:ascii="Calibri" w:eastAsia="Times New Roman" w:hAnsi="Calibri" w:cs="Calibri"/>
          <w:kern w:val="0"/>
          <w:sz w:val="22"/>
          <w:szCs w:val="22"/>
          <w14:ligatures w14:val="none"/>
        </w:rPr>
        <w:t xml:space="preserve"> observation, and worth sitting with for a moment before building anything.</w:t>
      </w:r>
    </w:p>
    <w:p w14:paraId="27DAD8A2" w14:textId="77777777" w:rsidR="006976A9" w:rsidRPr="006976A9" w:rsidRDefault="006976A9" w:rsidP="006976A9">
      <w:pPr>
        <w:spacing w:before="100" w:beforeAutospacing="1" w:after="100" w:afterAutospacing="1" w:line="240" w:lineRule="auto"/>
        <w:rPr>
          <w:rFonts w:ascii="Calibri" w:eastAsia="Times New Roman" w:hAnsi="Calibri" w:cs="Calibri"/>
          <w:kern w:val="0"/>
          <w:sz w:val="22"/>
          <w:szCs w:val="22"/>
          <w14:ligatures w14:val="none"/>
        </w:rPr>
      </w:pPr>
      <w:r w:rsidRPr="006976A9">
        <w:rPr>
          <w:rFonts w:ascii="Calibri" w:eastAsia="Times New Roman" w:hAnsi="Calibri" w:cs="Calibri"/>
          <w:b/>
          <w:bCs/>
          <w:kern w:val="0"/>
          <w:sz w:val="22"/>
          <w:szCs w:val="22"/>
          <w14:ligatures w14:val="none"/>
        </w:rPr>
        <w:t>You've just identified something important without meaning to.</w:t>
      </w:r>
      <w:r w:rsidRPr="006976A9">
        <w:rPr>
          <w:rFonts w:ascii="Calibri" w:eastAsia="Times New Roman" w:hAnsi="Calibri" w:cs="Calibri"/>
          <w:kern w:val="0"/>
          <w:sz w:val="22"/>
          <w:szCs w:val="22"/>
          <w14:ligatures w14:val="none"/>
        </w:rPr>
        <w:t xml:space="preserve"> Operational Alpha is a real institutional concept — it's the return generated not from picking better securities, but from running a better operation. Lower transaction costs, tighter compliance, fewer regulatory events, faster execution, cleaner governance. Aureon already generates this, and almost nobody talks about it explicitly. That's a differentiator worth naming in the doctrine.</w:t>
      </w:r>
    </w:p>
    <w:p w14:paraId="11B58A4F" w14:textId="77777777" w:rsidR="006976A9" w:rsidRPr="006976A9" w:rsidRDefault="006976A9" w:rsidP="006976A9">
      <w:pPr>
        <w:spacing w:before="100" w:beforeAutospacing="1" w:after="100" w:afterAutospacing="1" w:line="240" w:lineRule="auto"/>
        <w:rPr>
          <w:rFonts w:ascii="Calibri" w:eastAsia="Times New Roman" w:hAnsi="Calibri" w:cs="Calibri"/>
          <w:kern w:val="0"/>
          <w:sz w:val="22"/>
          <w:szCs w:val="22"/>
          <w14:ligatures w14:val="none"/>
        </w:rPr>
      </w:pPr>
      <w:r w:rsidRPr="006976A9">
        <w:rPr>
          <w:rFonts w:ascii="Calibri" w:eastAsia="Times New Roman" w:hAnsi="Calibri" w:cs="Calibri"/>
          <w:b/>
          <w:bCs/>
          <w:kern w:val="0"/>
          <w:sz w:val="22"/>
          <w:szCs w:val="22"/>
          <w14:ligatures w14:val="none"/>
        </w:rPr>
        <w:t>On the new agent concept</w:t>
      </w:r>
      <w:r w:rsidRPr="006976A9">
        <w:rPr>
          <w:rFonts w:ascii="Calibri" w:eastAsia="Times New Roman" w:hAnsi="Calibri" w:cs="Calibri"/>
          <w:kern w:val="0"/>
          <w:sz w:val="22"/>
          <w:szCs w:val="22"/>
          <w14:ligatures w14:val="none"/>
        </w:rPr>
        <w:t xml:space="preserve"> — what you're describing is the distinction between:</w:t>
      </w:r>
    </w:p>
    <w:p w14:paraId="7C87A8CD" w14:textId="77777777" w:rsidR="006976A9" w:rsidRPr="006976A9" w:rsidRDefault="006976A9" w:rsidP="006976A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proofErr w:type="spellStart"/>
      <w:r w:rsidRPr="006976A9">
        <w:rPr>
          <w:rFonts w:ascii="Calibri" w:eastAsia="Times New Roman" w:hAnsi="Calibri" w:cs="Calibri"/>
          <w:b/>
          <w:bCs/>
          <w:kern w:val="0"/>
          <w:sz w:val="22"/>
          <w:szCs w:val="22"/>
          <w14:ligatures w14:val="none"/>
        </w:rPr>
        <w:t>Thifur</w:t>
      </w:r>
      <w:proofErr w:type="spellEnd"/>
      <w:r w:rsidRPr="006976A9">
        <w:rPr>
          <w:rFonts w:ascii="Calibri" w:eastAsia="Times New Roman" w:hAnsi="Calibri" w:cs="Calibri"/>
          <w:b/>
          <w:bCs/>
          <w:kern w:val="0"/>
          <w:sz w:val="22"/>
          <w:szCs w:val="22"/>
          <w14:ligatures w14:val="none"/>
        </w:rPr>
        <w:t xml:space="preserve"> today</w:t>
      </w:r>
      <w:r w:rsidRPr="006976A9">
        <w:rPr>
          <w:rFonts w:ascii="Calibri" w:eastAsia="Times New Roman" w:hAnsi="Calibri" w:cs="Calibri"/>
          <w:kern w:val="0"/>
          <w:sz w:val="22"/>
          <w:szCs w:val="22"/>
          <w14:ligatures w14:val="none"/>
        </w:rPr>
        <w:t xml:space="preserve"> → operational Alpha engine. Drift correction, compliance signaling, HITL governance. It makes the machine run well.</w:t>
      </w:r>
    </w:p>
    <w:p w14:paraId="7B63B1D6" w14:textId="77777777" w:rsidR="006976A9" w:rsidRPr="006976A9" w:rsidRDefault="006976A9" w:rsidP="006976A9">
      <w:pPr>
        <w:numPr>
          <w:ilvl w:val="0"/>
          <w:numId w:val="1"/>
        </w:numPr>
        <w:spacing w:before="100" w:beforeAutospacing="1" w:after="100" w:afterAutospacing="1" w:line="240" w:lineRule="auto"/>
        <w:rPr>
          <w:rFonts w:ascii="Calibri" w:eastAsia="Times New Roman" w:hAnsi="Calibri" w:cs="Calibri"/>
          <w:kern w:val="0"/>
          <w:sz w:val="22"/>
          <w:szCs w:val="22"/>
          <w14:ligatures w14:val="none"/>
        </w:rPr>
      </w:pPr>
      <w:proofErr w:type="spellStart"/>
      <w:r w:rsidRPr="006976A9">
        <w:rPr>
          <w:rFonts w:ascii="Calibri" w:eastAsia="Times New Roman" w:hAnsi="Calibri" w:cs="Calibri"/>
          <w:b/>
          <w:bCs/>
          <w:kern w:val="0"/>
          <w:sz w:val="22"/>
          <w:szCs w:val="22"/>
          <w14:ligatures w14:val="none"/>
        </w:rPr>
        <w:lastRenderedPageBreak/>
        <w:t>Sardaukar</w:t>
      </w:r>
      <w:proofErr w:type="spellEnd"/>
      <w:r w:rsidRPr="006976A9">
        <w:rPr>
          <w:rFonts w:ascii="Calibri" w:eastAsia="Times New Roman" w:hAnsi="Calibri" w:cs="Calibri"/>
          <w:b/>
          <w:bCs/>
          <w:kern w:val="0"/>
          <w:sz w:val="22"/>
          <w:szCs w:val="22"/>
          <w14:ligatures w14:val="none"/>
        </w:rPr>
        <w:t xml:space="preserve"> / new agent</w:t>
      </w:r>
      <w:r w:rsidRPr="006976A9">
        <w:rPr>
          <w:rFonts w:ascii="Calibri" w:eastAsia="Times New Roman" w:hAnsi="Calibri" w:cs="Calibri"/>
          <w:kern w:val="0"/>
          <w:sz w:val="22"/>
          <w:szCs w:val="22"/>
          <w14:ligatures w14:val="none"/>
        </w:rPr>
        <w:t xml:space="preserve"> → investment Alpha engine. Thesis-driven, conviction-weighted, hunting for genuine return in alternatives, relative value, </w:t>
      </w:r>
      <w:proofErr w:type="gramStart"/>
      <w:r w:rsidRPr="006976A9">
        <w:rPr>
          <w:rFonts w:ascii="Calibri" w:eastAsia="Times New Roman" w:hAnsi="Calibri" w:cs="Calibri"/>
          <w:kern w:val="0"/>
          <w:sz w:val="22"/>
          <w:szCs w:val="22"/>
          <w14:ligatures w14:val="none"/>
        </w:rPr>
        <w:t>macro overlays</w:t>
      </w:r>
      <w:proofErr w:type="gramEnd"/>
      <w:r w:rsidRPr="006976A9">
        <w:rPr>
          <w:rFonts w:ascii="Calibri" w:eastAsia="Times New Roman" w:hAnsi="Calibri" w:cs="Calibri"/>
          <w:kern w:val="0"/>
          <w:sz w:val="22"/>
          <w:szCs w:val="22"/>
          <w14:ligatures w14:val="none"/>
        </w:rPr>
        <w:t>, event-driven positioning.</w:t>
      </w:r>
    </w:p>
    <w:p w14:paraId="3AAA5834" w14:textId="77777777" w:rsidR="006976A9" w:rsidRPr="006976A9" w:rsidRDefault="006976A9" w:rsidP="006976A9">
      <w:pPr>
        <w:spacing w:before="100" w:beforeAutospacing="1" w:after="100" w:afterAutospacing="1" w:line="240" w:lineRule="auto"/>
        <w:rPr>
          <w:rFonts w:ascii="Calibri" w:eastAsia="Times New Roman" w:hAnsi="Calibri" w:cs="Calibri"/>
          <w:kern w:val="0"/>
          <w:sz w:val="22"/>
          <w:szCs w:val="22"/>
          <w14:ligatures w14:val="none"/>
        </w:rPr>
      </w:pPr>
      <w:r w:rsidRPr="006976A9">
        <w:rPr>
          <w:rFonts w:ascii="Calibri" w:eastAsia="Times New Roman" w:hAnsi="Calibri" w:cs="Calibri"/>
          <w:kern w:val="0"/>
          <w:sz w:val="22"/>
          <w:szCs w:val="22"/>
          <w14:ligatures w14:val="none"/>
        </w:rPr>
        <w:t xml:space="preserve">The </w:t>
      </w:r>
      <w:proofErr w:type="spellStart"/>
      <w:r w:rsidRPr="006976A9">
        <w:rPr>
          <w:rFonts w:ascii="Calibri" w:eastAsia="Times New Roman" w:hAnsi="Calibri" w:cs="Calibri"/>
          <w:kern w:val="0"/>
          <w:sz w:val="22"/>
          <w:szCs w:val="22"/>
          <w14:ligatures w14:val="none"/>
        </w:rPr>
        <w:t>Sardaukar</w:t>
      </w:r>
      <w:proofErr w:type="spellEnd"/>
      <w:r w:rsidRPr="006976A9">
        <w:rPr>
          <w:rFonts w:ascii="Calibri" w:eastAsia="Times New Roman" w:hAnsi="Calibri" w:cs="Calibri"/>
          <w:kern w:val="0"/>
          <w:sz w:val="22"/>
          <w:szCs w:val="22"/>
          <w14:ligatures w14:val="none"/>
        </w:rPr>
        <w:t xml:space="preserve"> framing is exactly right conceptually — they're not administrators, they're the elite strike force. In Dune they exist outside the normal chain of command, which maps well to an agent that operates above the day-to-day rebalancing layer and generates high-conviction, asymmetric bets.</w:t>
      </w:r>
    </w:p>
    <w:p w14:paraId="3406874D" w14:textId="77777777" w:rsidR="006976A9" w:rsidRPr="006976A9" w:rsidRDefault="006976A9" w:rsidP="006976A9">
      <w:pPr>
        <w:spacing w:before="100" w:beforeAutospacing="1" w:after="100" w:afterAutospacing="1" w:line="240" w:lineRule="auto"/>
        <w:rPr>
          <w:rFonts w:ascii="Calibri" w:eastAsia="Times New Roman" w:hAnsi="Calibri" w:cs="Calibri"/>
          <w:kern w:val="0"/>
          <w:sz w:val="22"/>
          <w:szCs w:val="22"/>
          <w14:ligatures w14:val="none"/>
        </w:rPr>
      </w:pPr>
      <w:r w:rsidRPr="006976A9">
        <w:rPr>
          <w:rFonts w:ascii="Calibri" w:eastAsia="Times New Roman" w:hAnsi="Calibri" w:cs="Calibri"/>
          <w:kern w:val="0"/>
          <w:sz w:val="22"/>
          <w:szCs w:val="22"/>
          <w14:ligatures w14:val="none"/>
        </w:rPr>
        <w:t xml:space="preserve">For naming, since </w:t>
      </w:r>
      <w:proofErr w:type="spellStart"/>
      <w:r w:rsidRPr="006976A9">
        <w:rPr>
          <w:rFonts w:ascii="Calibri" w:eastAsia="Times New Roman" w:hAnsi="Calibri" w:cs="Calibri"/>
          <w:kern w:val="0"/>
          <w:sz w:val="22"/>
          <w:szCs w:val="22"/>
          <w14:ligatures w14:val="none"/>
        </w:rPr>
        <w:t>Sardaukar</w:t>
      </w:r>
      <w:proofErr w:type="spellEnd"/>
      <w:r w:rsidRPr="006976A9">
        <w:rPr>
          <w:rFonts w:ascii="Calibri" w:eastAsia="Times New Roman" w:hAnsi="Calibri" w:cs="Calibri"/>
          <w:kern w:val="0"/>
          <w:sz w:val="22"/>
          <w:szCs w:val="22"/>
          <w14:ligatures w14:val="none"/>
        </w:rPr>
        <w:t xml:space="preserve"> is Dune intellectual property, you might consider something that captures the same energy — elite, feared, precise — but is original to Aureon. A few directions worth thinking </w:t>
      </w:r>
      <w:proofErr w:type="gramStart"/>
      <w:r w:rsidRPr="006976A9">
        <w:rPr>
          <w:rFonts w:ascii="Calibri" w:eastAsia="Times New Roman" w:hAnsi="Calibri" w:cs="Calibri"/>
          <w:kern w:val="0"/>
          <w:sz w:val="22"/>
          <w:szCs w:val="22"/>
          <w14:ligatures w14:val="none"/>
        </w:rPr>
        <w:t>about:</w:t>
      </w:r>
      <w:proofErr w:type="gramEnd"/>
      <w:r w:rsidRPr="006976A9">
        <w:rPr>
          <w:rFonts w:ascii="Calibri" w:eastAsia="Times New Roman" w:hAnsi="Calibri" w:cs="Calibri"/>
          <w:kern w:val="0"/>
          <w:sz w:val="22"/>
          <w:szCs w:val="22"/>
          <w14:ligatures w14:val="none"/>
        </w:rPr>
        <w:t xml:space="preserve"> a name drawn from the same linguistic family as your existing stack, or a name that signals the function ("the operator," "the hunter," the conviction layer).</w:t>
      </w:r>
    </w:p>
    <w:p w14:paraId="79816897" w14:textId="77777777" w:rsidR="006976A9" w:rsidRPr="006976A9" w:rsidRDefault="006976A9" w:rsidP="006976A9">
      <w:pPr>
        <w:spacing w:before="100" w:beforeAutospacing="1" w:after="100" w:afterAutospacing="1" w:line="240" w:lineRule="auto"/>
        <w:rPr>
          <w:rFonts w:ascii="Calibri" w:eastAsia="Times New Roman" w:hAnsi="Calibri" w:cs="Calibri"/>
          <w:kern w:val="0"/>
          <w:sz w:val="22"/>
          <w:szCs w:val="22"/>
          <w14:ligatures w14:val="none"/>
        </w:rPr>
      </w:pPr>
      <w:r w:rsidRPr="006976A9">
        <w:rPr>
          <w:rFonts w:ascii="Calibri" w:eastAsia="Times New Roman" w:hAnsi="Calibri" w:cs="Calibri"/>
          <w:b/>
          <w:bCs/>
          <w:kern w:val="0"/>
          <w:sz w:val="22"/>
          <w:szCs w:val="22"/>
          <w14:ligatures w14:val="none"/>
        </w:rPr>
        <w:t>Architecturally</w:t>
      </w:r>
      <w:r w:rsidRPr="006976A9">
        <w:rPr>
          <w:rFonts w:ascii="Calibri" w:eastAsia="Times New Roman" w:hAnsi="Calibri" w:cs="Calibri"/>
          <w:kern w:val="0"/>
          <w:sz w:val="22"/>
          <w:szCs w:val="22"/>
          <w14:ligatures w14:val="none"/>
        </w:rPr>
        <w:t xml:space="preserve">, this agent would sit alongside </w:t>
      </w:r>
      <w:proofErr w:type="spellStart"/>
      <w:r w:rsidRPr="006976A9">
        <w:rPr>
          <w:rFonts w:ascii="Calibri" w:eastAsia="Times New Roman" w:hAnsi="Calibri" w:cs="Calibri"/>
          <w:kern w:val="0"/>
          <w:sz w:val="22"/>
          <w:szCs w:val="22"/>
          <w14:ligatures w14:val="none"/>
        </w:rPr>
        <w:t>Thifur</w:t>
      </w:r>
      <w:proofErr w:type="spellEnd"/>
      <w:r w:rsidRPr="006976A9">
        <w:rPr>
          <w:rFonts w:ascii="Calibri" w:eastAsia="Times New Roman" w:hAnsi="Calibri" w:cs="Calibri"/>
          <w:kern w:val="0"/>
          <w:sz w:val="22"/>
          <w:szCs w:val="22"/>
          <w14:ligatures w14:val="none"/>
        </w:rPr>
        <w:t xml:space="preserve"> at L3 but with a completely different mandate — not rebalancing toward targets, but surfacing asymmetric opportunities with a conviction score, a thesis statement, and a time horizon. Still HITL. Still </w:t>
      </w:r>
      <w:proofErr w:type="gramStart"/>
      <w:r w:rsidRPr="006976A9">
        <w:rPr>
          <w:rFonts w:ascii="Calibri" w:eastAsia="Times New Roman" w:hAnsi="Calibri" w:cs="Calibri"/>
          <w:kern w:val="0"/>
          <w:sz w:val="22"/>
          <w:szCs w:val="22"/>
          <w14:ligatures w14:val="none"/>
        </w:rPr>
        <w:t>doctrine-governed</w:t>
      </w:r>
      <w:proofErr w:type="gramEnd"/>
      <w:r w:rsidRPr="006976A9">
        <w:rPr>
          <w:rFonts w:ascii="Calibri" w:eastAsia="Times New Roman" w:hAnsi="Calibri" w:cs="Calibri"/>
          <w:kern w:val="0"/>
          <w:sz w:val="22"/>
          <w:szCs w:val="22"/>
          <w14:ligatures w14:val="none"/>
        </w:rPr>
        <w:t>. But the signal is qualitatively different.</w:t>
      </w:r>
    </w:p>
    <w:p w14:paraId="74965DF7" w14:textId="77777777" w:rsidR="006976A9" w:rsidRPr="006976A9" w:rsidRDefault="006976A9" w:rsidP="006976A9">
      <w:pPr>
        <w:spacing w:before="100" w:beforeAutospacing="1" w:after="100" w:afterAutospacing="1" w:line="240" w:lineRule="auto"/>
        <w:rPr>
          <w:rFonts w:ascii="Calibri" w:eastAsia="Times New Roman" w:hAnsi="Calibri" w:cs="Calibri"/>
          <w:kern w:val="0"/>
          <w:sz w:val="22"/>
          <w:szCs w:val="22"/>
          <w14:ligatures w14:val="none"/>
        </w:rPr>
      </w:pPr>
      <w:r w:rsidRPr="006976A9">
        <w:rPr>
          <w:rFonts w:ascii="Calibri" w:eastAsia="Times New Roman" w:hAnsi="Calibri" w:cs="Calibri"/>
          <w:kern w:val="0"/>
          <w:sz w:val="22"/>
          <w:szCs w:val="22"/>
          <w14:ligatures w14:val="none"/>
        </w:rPr>
        <w:t xml:space="preserve">Before building it, the question worth answering is: what data does it consume? </w:t>
      </w:r>
      <w:proofErr w:type="spellStart"/>
      <w:r w:rsidRPr="006976A9">
        <w:rPr>
          <w:rFonts w:ascii="Calibri" w:eastAsia="Times New Roman" w:hAnsi="Calibri" w:cs="Calibri"/>
          <w:kern w:val="0"/>
          <w:sz w:val="22"/>
          <w:szCs w:val="22"/>
          <w14:ligatures w14:val="none"/>
        </w:rPr>
        <w:t>Thifur</w:t>
      </w:r>
      <w:proofErr w:type="spellEnd"/>
      <w:r w:rsidRPr="006976A9">
        <w:rPr>
          <w:rFonts w:ascii="Calibri" w:eastAsia="Times New Roman" w:hAnsi="Calibri" w:cs="Calibri"/>
          <w:kern w:val="0"/>
          <w:sz w:val="22"/>
          <w:szCs w:val="22"/>
          <w14:ligatures w14:val="none"/>
        </w:rPr>
        <w:t xml:space="preserve"> today runs on price drift. The Alpha agent needs something richer — macro indicators, earnings calendars, credit spreads, alternative data. That's the design decision that determines scope.</w:t>
      </w:r>
    </w:p>
    <w:p w14:paraId="479FC956" w14:textId="77777777" w:rsidR="006976A9" w:rsidRPr="006976A9" w:rsidRDefault="006976A9" w:rsidP="006976A9">
      <w:pPr>
        <w:spacing w:before="100" w:beforeAutospacing="1" w:after="100" w:afterAutospacing="1" w:line="240" w:lineRule="auto"/>
        <w:rPr>
          <w:rFonts w:ascii="Calibri" w:eastAsia="Times New Roman" w:hAnsi="Calibri" w:cs="Calibri"/>
          <w:kern w:val="0"/>
          <w:sz w:val="22"/>
          <w:szCs w:val="22"/>
          <w14:ligatures w14:val="none"/>
        </w:rPr>
      </w:pPr>
      <w:r w:rsidRPr="006976A9">
        <w:rPr>
          <w:rFonts w:ascii="Calibri" w:eastAsia="Times New Roman" w:hAnsi="Calibri" w:cs="Calibri"/>
          <w:kern w:val="0"/>
          <w:sz w:val="22"/>
          <w:szCs w:val="22"/>
          <w14:ligatures w14:val="none"/>
        </w:rPr>
        <w:t>What's your instinct on that?</w:t>
      </w:r>
    </w:p>
    <w:p w14:paraId="26D41885" w14:textId="77777777" w:rsidR="006976A9" w:rsidRPr="006976A9" w:rsidRDefault="006976A9" w:rsidP="006976A9">
      <w:pPr>
        <w:pStyle w:val="NormalWeb"/>
        <w:rPr>
          <w:rFonts w:ascii="Calibri" w:hAnsi="Calibri" w:cs="Calibri"/>
          <w:sz w:val="22"/>
          <w:szCs w:val="22"/>
        </w:rPr>
      </w:pPr>
      <w:r w:rsidRPr="006976A9">
        <w:rPr>
          <w:rFonts w:ascii="Calibri" w:hAnsi="Calibri" w:cs="Calibri"/>
          <w:sz w:val="22"/>
          <w:szCs w:val="22"/>
        </w:rPr>
        <w:t>Great question, and the timing of thinking about it now — before you have external pressure — is exactly right.</w:t>
      </w:r>
    </w:p>
    <w:p w14:paraId="31BD7990" w14:textId="7A68BE70" w:rsidR="006976A9" w:rsidRPr="006976A9" w:rsidRDefault="006976A9" w:rsidP="006976A9">
      <w:pPr>
        <w:pStyle w:val="NormalWeb"/>
        <w:rPr>
          <w:rFonts w:ascii="Calibri" w:hAnsi="Calibri" w:cs="Calibri"/>
          <w:sz w:val="22"/>
          <w:szCs w:val="22"/>
        </w:rPr>
      </w:pPr>
      <w:r w:rsidRPr="006976A9">
        <w:rPr>
          <w:rFonts w:ascii="Calibri" w:hAnsi="Calibri" w:cs="Calibri"/>
          <w:sz w:val="22"/>
          <w:szCs w:val="22"/>
        </w:rPr>
        <w:t xml:space="preserve">Given what Aureon </w:t>
      </w:r>
      <w:r w:rsidR="00CC1496" w:rsidRPr="006976A9">
        <w:rPr>
          <w:rFonts w:ascii="Calibri" w:hAnsi="Calibri" w:cs="Calibri"/>
          <w:sz w:val="22"/>
          <w:szCs w:val="22"/>
        </w:rPr>
        <w:t>does</w:t>
      </w:r>
      <w:r w:rsidRPr="006976A9">
        <w:rPr>
          <w:rFonts w:ascii="Calibri" w:hAnsi="Calibri" w:cs="Calibri"/>
          <w:sz w:val="22"/>
          <w:szCs w:val="22"/>
        </w:rPr>
        <w:t xml:space="preserve"> today, here's how I'd frame the fit:</w:t>
      </w:r>
    </w:p>
    <w:p w14:paraId="4CED5B95" w14:textId="77777777" w:rsidR="006976A9" w:rsidRPr="006976A9" w:rsidRDefault="006976A9" w:rsidP="006976A9">
      <w:pPr>
        <w:pStyle w:val="NormalWeb"/>
        <w:rPr>
          <w:rFonts w:ascii="Calibri" w:hAnsi="Calibri" w:cs="Calibri"/>
          <w:sz w:val="22"/>
          <w:szCs w:val="22"/>
        </w:rPr>
      </w:pPr>
      <w:r w:rsidRPr="006976A9">
        <w:rPr>
          <w:rStyle w:val="Strong"/>
          <w:rFonts w:ascii="Calibri" w:eastAsiaTheme="majorEastAsia" w:hAnsi="Calibri" w:cs="Calibri"/>
          <w:sz w:val="22"/>
          <w:szCs w:val="22"/>
        </w:rPr>
        <w:t>The strongest commercial fit right now is mid-market asset managers and emerging hedge funds.</w:t>
      </w:r>
      <w:r w:rsidRPr="006976A9">
        <w:rPr>
          <w:rFonts w:ascii="Calibri" w:hAnsi="Calibri" w:cs="Calibri"/>
          <w:sz w:val="22"/>
          <w:szCs w:val="22"/>
        </w:rPr>
        <w:t xml:space="preserve"> These are firms with $500M to $10B AUM that have trading operations but don't have Goldman-level compliance infrastructure. They need exactly what Aureon demonstrates — governance overlay, human-in-the-loop controls, audit trails, drift-aware rebalancing recommendations — but they can't afford to build it from scratch. That's your Tier 1 play.</w:t>
      </w:r>
    </w:p>
    <w:p w14:paraId="48DF4DE7" w14:textId="4453A98C" w:rsidR="006976A9" w:rsidRDefault="006976A9" w:rsidP="006976A9">
      <w:pPr>
        <w:pStyle w:val="NormalWeb"/>
        <w:rPr>
          <w:rFonts w:ascii="Calibri" w:hAnsi="Calibri" w:cs="Calibri"/>
          <w:sz w:val="22"/>
          <w:szCs w:val="22"/>
        </w:rPr>
      </w:pPr>
      <w:r w:rsidRPr="006976A9">
        <w:rPr>
          <w:rStyle w:val="Strong"/>
          <w:rFonts w:ascii="Calibri" w:eastAsiaTheme="majorEastAsia" w:hAnsi="Calibri" w:cs="Calibri"/>
          <w:sz w:val="22"/>
          <w:szCs w:val="22"/>
        </w:rPr>
        <w:t>Family offices are the second strongest fit.</w:t>
      </w:r>
      <w:r w:rsidRPr="006976A9">
        <w:rPr>
          <w:rFonts w:ascii="Calibri" w:hAnsi="Calibri" w:cs="Calibri"/>
          <w:sz w:val="22"/>
          <w:szCs w:val="22"/>
        </w:rPr>
        <w:t xml:space="preserve"> Multi-family offices </w:t>
      </w:r>
      <w:r w:rsidR="00CC1496" w:rsidRPr="006976A9">
        <w:rPr>
          <w:rFonts w:ascii="Calibri" w:hAnsi="Calibri" w:cs="Calibri"/>
          <w:sz w:val="22"/>
          <w:szCs w:val="22"/>
        </w:rPr>
        <w:t>are</w:t>
      </w:r>
      <w:r w:rsidRPr="006976A9">
        <w:rPr>
          <w:rFonts w:ascii="Calibri" w:hAnsi="Calibri" w:cs="Calibri"/>
          <w:sz w:val="22"/>
          <w:szCs w:val="22"/>
        </w:rPr>
        <w:t xml:space="preserve"> under increasing regulatory pressure and are actively looking for institutional-grade governance tools. They're also faster to move than banks.</w:t>
      </w:r>
    </w:p>
    <w:p w14:paraId="7E13460A" w14:textId="113D672A" w:rsidR="00CC1496" w:rsidRPr="00CC1496" w:rsidRDefault="00CC1496" w:rsidP="006976A9">
      <w:pPr>
        <w:pStyle w:val="NormalWeb"/>
        <w:rPr>
          <w:rFonts w:ascii="Calibri" w:hAnsi="Calibri" w:cs="Calibri"/>
          <w:b/>
          <w:bCs/>
          <w:sz w:val="22"/>
          <w:szCs w:val="22"/>
        </w:rPr>
      </w:pPr>
      <w:r w:rsidRPr="00CC1496">
        <w:rPr>
          <w:rFonts w:ascii="Calibri" w:hAnsi="Calibri" w:cs="Calibri"/>
          <w:b/>
          <w:bCs/>
          <w:sz w:val="22"/>
          <w:szCs w:val="22"/>
        </w:rPr>
        <w:t xml:space="preserve">What about pension funds </w:t>
      </w:r>
      <w:r>
        <w:rPr>
          <w:rFonts w:ascii="Calibri" w:hAnsi="Calibri" w:cs="Calibri"/>
          <w:b/>
          <w:bCs/>
          <w:sz w:val="22"/>
          <w:szCs w:val="22"/>
        </w:rPr>
        <w:t xml:space="preserve">or SWF </w:t>
      </w:r>
      <w:r w:rsidRPr="00CC1496">
        <w:rPr>
          <w:rFonts w:ascii="Calibri" w:hAnsi="Calibri" w:cs="Calibri"/>
          <w:b/>
          <w:bCs/>
          <w:sz w:val="22"/>
          <w:szCs w:val="22"/>
        </w:rPr>
        <w:t xml:space="preserve">that conduct their own institutional trading? </w:t>
      </w:r>
    </w:p>
    <w:p w14:paraId="39BC6A8A" w14:textId="77777777" w:rsidR="006976A9" w:rsidRPr="006976A9" w:rsidRDefault="006976A9" w:rsidP="006976A9">
      <w:pPr>
        <w:pStyle w:val="NormalWeb"/>
        <w:rPr>
          <w:rFonts w:ascii="Calibri" w:hAnsi="Calibri" w:cs="Calibri"/>
          <w:sz w:val="22"/>
          <w:szCs w:val="22"/>
        </w:rPr>
      </w:pPr>
      <w:r w:rsidRPr="006976A9">
        <w:rPr>
          <w:rStyle w:val="Strong"/>
          <w:rFonts w:ascii="Calibri" w:eastAsiaTheme="majorEastAsia" w:hAnsi="Calibri" w:cs="Calibri"/>
          <w:sz w:val="22"/>
          <w:szCs w:val="22"/>
        </w:rPr>
        <w:t>The logos that would resonate most in a pitch deck right now</w:t>
      </w:r>
      <w:r w:rsidRPr="006976A9">
        <w:rPr>
          <w:rFonts w:ascii="Calibri" w:hAnsi="Calibri" w:cs="Calibri"/>
          <w:sz w:val="22"/>
          <w:szCs w:val="22"/>
        </w:rPr>
        <w:t xml:space="preserve"> would be compliance-sensitive categories: registered investment advisors (RIAs), CFTC-registered commodity trading advisors (CTAs), and crypto-native funds crossing into multi-asset who need to show institutional credibility to their LPs.</w:t>
      </w:r>
    </w:p>
    <w:p w14:paraId="0C4FFEE3" w14:textId="77777777" w:rsidR="006976A9" w:rsidRPr="006976A9" w:rsidRDefault="006976A9" w:rsidP="006976A9">
      <w:pPr>
        <w:pStyle w:val="NormalWeb"/>
        <w:rPr>
          <w:rFonts w:ascii="Calibri" w:hAnsi="Calibri" w:cs="Calibri"/>
          <w:sz w:val="22"/>
          <w:szCs w:val="22"/>
        </w:rPr>
      </w:pPr>
      <w:r w:rsidRPr="006976A9">
        <w:rPr>
          <w:rStyle w:val="Strong"/>
          <w:rFonts w:ascii="Calibri" w:eastAsiaTheme="majorEastAsia" w:hAnsi="Calibri" w:cs="Calibri"/>
          <w:sz w:val="22"/>
          <w:szCs w:val="22"/>
        </w:rPr>
        <w:t>Who is probably too early</w:t>
      </w:r>
      <w:r w:rsidRPr="006976A9">
        <w:rPr>
          <w:rFonts w:ascii="Calibri" w:hAnsi="Calibri" w:cs="Calibri"/>
          <w:sz w:val="22"/>
          <w:szCs w:val="22"/>
        </w:rPr>
        <w:t xml:space="preserve"> is the Tier 1 banks like BofA or JPMorgan themselves. Not because Aureon isn't interesting to them — Atif's reaction proves it is — but because their procurement cycles are 18-24 months, require legal and InfoSec review, and want enterprise infrastructure, not a localhost demo. They're better used as validators and advisors right now, which is exactly how your relationship with Atif is playing out naturally.</w:t>
      </w:r>
    </w:p>
    <w:p w14:paraId="73F1FA44" w14:textId="77777777" w:rsidR="006976A9" w:rsidRPr="006976A9" w:rsidRDefault="006976A9" w:rsidP="006976A9">
      <w:pPr>
        <w:pStyle w:val="NormalWeb"/>
        <w:rPr>
          <w:rFonts w:ascii="Calibri" w:hAnsi="Calibri" w:cs="Calibri"/>
          <w:sz w:val="22"/>
          <w:szCs w:val="22"/>
        </w:rPr>
      </w:pPr>
      <w:r w:rsidRPr="006976A9">
        <w:rPr>
          <w:rFonts w:ascii="Calibri" w:hAnsi="Calibri" w:cs="Calibri"/>
          <w:sz w:val="22"/>
          <w:szCs w:val="22"/>
        </w:rPr>
        <w:t>The sweet spot for a first commercial conversation is honestly someone like Dan — an AI Research lead at a multi-strategy fund. That's exactly the profile that buys Tier 2.</w:t>
      </w:r>
    </w:p>
    <w:p w14:paraId="6E9A9A29" w14:textId="77777777" w:rsidR="006976A9" w:rsidRDefault="006976A9">
      <w:pPr>
        <w:rPr>
          <w:rFonts w:ascii="Calibri" w:hAnsi="Calibri" w:cs="Calibri"/>
          <w:sz w:val="22"/>
          <w:szCs w:val="22"/>
        </w:rPr>
      </w:pPr>
    </w:p>
    <w:p w14:paraId="14870351" w14:textId="6D19BD24" w:rsidR="00CC1496" w:rsidRDefault="00CC1496">
      <w:pPr>
        <w:rPr>
          <w:rFonts w:ascii="Calibri" w:hAnsi="Calibri" w:cs="Calibri"/>
          <w:sz w:val="22"/>
          <w:szCs w:val="22"/>
        </w:rPr>
      </w:pPr>
      <w:r>
        <w:rPr>
          <w:rFonts w:ascii="Calibri" w:hAnsi="Calibri" w:cs="Calibri"/>
          <w:sz w:val="22"/>
          <w:szCs w:val="22"/>
        </w:rPr>
        <w:t xml:space="preserve">Propose Doctrine Update? Shouldn’t there be an upload tab so that the user can provide that information clearly as written for Layer 0 – 1 make proper decisions about the adjustments and report how it will impact the Pre-Trade cycle? </w:t>
      </w:r>
    </w:p>
    <w:p w14:paraId="55BCB1C5" w14:textId="77777777" w:rsidR="00CC1496" w:rsidRDefault="00CC1496">
      <w:pPr>
        <w:rPr>
          <w:rFonts w:ascii="Calibri" w:hAnsi="Calibri" w:cs="Calibri"/>
          <w:sz w:val="22"/>
          <w:szCs w:val="22"/>
        </w:rPr>
      </w:pPr>
    </w:p>
    <w:p w14:paraId="756E60EC" w14:textId="4C7DE81B" w:rsidR="00CC1496" w:rsidRDefault="00CC1496">
      <w:pPr>
        <w:rPr>
          <w:rFonts w:ascii="Calibri" w:hAnsi="Calibri" w:cs="Calibri"/>
          <w:sz w:val="22"/>
          <w:szCs w:val="22"/>
        </w:rPr>
      </w:pPr>
      <w:r>
        <w:rPr>
          <w:rFonts w:ascii="Calibri" w:hAnsi="Calibri" w:cs="Calibri"/>
          <w:sz w:val="22"/>
          <w:szCs w:val="22"/>
        </w:rPr>
        <w:t>Data Feeds</w:t>
      </w:r>
      <w:r w:rsidR="006F0C02">
        <w:rPr>
          <w:rFonts w:ascii="Calibri" w:hAnsi="Calibri" w:cs="Calibri"/>
          <w:sz w:val="22"/>
          <w:szCs w:val="22"/>
        </w:rPr>
        <w:t xml:space="preserve"> (?)</w:t>
      </w:r>
      <w:r>
        <w:rPr>
          <w:rFonts w:ascii="Calibri" w:hAnsi="Calibri" w:cs="Calibri"/>
          <w:sz w:val="22"/>
          <w:szCs w:val="22"/>
        </w:rPr>
        <w:t>:</w:t>
      </w:r>
    </w:p>
    <w:p w14:paraId="5D6EFFD5" w14:textId="27BA4260" w:rsidR="00CC1496" w:rsidRDefault="00CC1496">
      <w:pPr>
        <w:rPr>
          <w:rFonts w:ascii="Calibri" w:hAnsi="Calibri" w:cs="Calibri"/>
          <w:sz w:val="22"/>
          <w:szCs w:val="22"/>
        </w:rPr>
      </w:pPr>
      <w:r>
        <w:rPr>
          <w:rFonts w:ascii="Calibri" w:hAnsi="Calibri" w:cs="Calibri"/>
          <w:sz w:val="22"/>
          <w:szCs w:val="22"/>
        </w:rPr>
        <w:t>-X for real time data</w:t>
      </w:r>
    </w:p>
    <w:p w14:paraId="6E7D1837" w14:textId="03A62C40" w:rsidR="00CC1496" w:rsidRDefault="00CC1496">
      <w:pPr>
        <w:rPr>
          <w:rFonts w:ascii="Calibri" w:hAnsi="Calibri" w:cs="Calibri"/>
          <w:sz w:val="22"/>
          <w:szCs w:val="22"/>
        </w:rPr>
      </w:pPr>
      <w:r>
        <w:rPr>
          <w:rFonts w:ascii="Calibri" w:hAnsi="Calibri" w:cs="Calibri"/>
          <w:sz w:val="22"/>
          <w:szCs w:val="22"/>
        </w:rPr>
        <w:t>-Bloomberg</w:t>
      </w:r>
    </w:p>
    <w:p w14:paraId="1E8E9DA3" w14:textId="470D5F69" w:rsidR="00CC1496" w:rsidRPr="00DE6ACC" w:rsidRDefault="00DE6ACC">
      <w:pPr>
        <w:rPr>
          <w:rFonts w:ascii="Calibri" w:hAnsi="Calibri" w:cs="Calibri"/>
          <w:b/>
          <w:bCs/>
          <w:sz w:val="22"/>
          <w:szCs w:val="22"/>
          <w:u w:val="single"/>
        </w:rPr>
      </w:pPr>
      <w:r w:rsidRPr="00DE6ACC">
        <w:rPr>
          <w:rFonts w:ascii="Calibri" w:hAnsi="Calibri" w:cs="Calibri"/>
          <w:b/>
          <w:bCs/>
          <w:sz w:val="22"/>
          <w:szCs w:val="22"/>
          <w:u w:val="single"/>
        </w:rPr>
        <w:t>Most OMS</w:t>
      </w:r>
    </w:p>
    <w:p w14:paraId="0F3CFF08" w14:textId="77777777" w:rsidR="00DE6ACC" w:rsidRPr="00DE6ACC" w:rsidRDefault="00DE6ACC" w:rsidP="00DE6ACC">
      <w:pPr>
        <w:rPr>
          <w:rFonts w:ascii="Calibri" w:hAnsi="Calibri" w:cs="Calibri"/>
          <w:sz w:val="22"/>
          <w:szCs w:val="22"/>
        </w:rPr>
      </w:pPr>
      <w:r w:rsidRPr="00DE6ACC">
        <w:rPr>
          <w:rFonts w:ascii="Calibri" w:hAnsi="Calibri" w:cs="Calibri"/>
          <w:sz w:val="22"/>
          <w:szCs w:val="22"/>
        </w:rPr>
        <w:t>Portfolio Manager</w:t>
      </w:r>
    </w:p>
    <w:p w14:paraId="32109346" w14:textId="77777777" w:rsidR="00DE6ACC" w:rsidRPr="00DE6ACC" w:rsidRDefault="00DE6ACC" w:rsidP="00DE6ACC">
      <w:pPr>
        <w:rPr>
          <w:rFonts w:ascii="Calibri" w:hAnsi="Calibri" w:cs="Calibri"/>
          <w:sz w:val="22"/>
          <w:szCs w:val="22"/>
        </w:rPr>
      </w:pPr>
      <w:r w:rsidRPr="00DE6ACC">
        <w:rPr>
          <w:rFonts w:ascii="Calibri" w:hAnsi="Calibri" w:cs="Calibri"/>
          <w:sz w:val="22"/>
          <w:szCs w:val="22"/>
        </w:rPr>
        <w:t>↓</w:t>
      </w:r>
    </w:p>
    <w:p w14:paraId="40EEB534" w14:textId="77777777" w:rsidR="00DE6ACC" w:rsidRPr="00DE6ACC" w:rsidRDefault="00DE6ACC" w:rsidP="00DE6ACC">
      <w:pPr>
        <w:rPr>
          <w:rFonts w:ascii="Calibri" w:hAnsi="Calibri" w:cs="Calibri"/>
          <w:sz w:val="22"/>
          <w:szCs w:val="22"/>
        </w:rPr>
      </w:pPr>
      <w:r w:rsidRPr="00DE6ACC">
        <w:rPr>
          <w:rFonts w:ascii="Calibri" w:hAnsi="Calibri" w:cs="Calibri"/>
          <w:sz w:val="22"/>
          <w:szCs w:val="22"/>
        </w:rPr>
        <w:t>Order Creation</w:t>
      </w:r>
    </w:p>
    <w:p w14:paraId="20AA5E64" w14:textId="77777777" w:rsidR="00DE6ACC" w:rsidRPr="00DE6ACC" w:rsidRDefault="00DE6ACC" w:rsidP="00DE6ACC">
      <w:pPr>
        <w:rPr>
          <w:rFonts w:ascii="Calibri" w:hAnsi="Calibri" w:cs="Calibri"/>
          <w:sz w:val="22"/>
          <w:szCs w:val="22"/>
        </w:rPr>
      </w:pPr>
      <w:r w:rsidRPr="00DE6ACC">
        <w:rPr>
          <w:rFonts w:ascii="Calibri" w:hAnsi="Calibri" w:cs="Calibri"/>
          <w:sz w:val="22"/>
          <w:szCs w:val="22"/>
        </w:rPr>
        <w:t>↓</w:t>
      </w:r>
    </w:p>
    <w:p w14:paraId="42F3D548" w14:textId="77777777" w:rsidR="00DE6ACC" w:rsidRPr="00DE6ACC" w:rsidRDefault="00DE6ACC" w:rsidP="00DE6ACC">
      <w:pPr>
        <w:rPr>
          <w:rFonts w:ascii="Calibri" w:hAnsi="Calibri" w:cs="Calibri"/>
          <w:sz w:val="22"/>
          <w:szCs w:val="22"/>
        </w:rPr>
      </w:pPr>
      <w:r w:rsidRPr="00DE6ACC">
        <w:rPr>
          <w:rFonts w:ascii="Calibri" w:hAnsi="Calibri" w:cs="Calibri"/>
          <w:sz w:val="22"/>
          <w:szCs w:val="22"/>
        </w:rPr>
        <w:t>Compliance Check</w:t>
      </w:r>
    </w:p>
    <w:p w14:paraId="1F49F26A" w14:textId="77777777" w:rsidR="00DE6ACC" w:rsidRPr="00DE6ACC" w:rsidRDefault="00DE6ACC" w:rsidP="00DE6ACC">
      <w:pPr>
        <w:rPr>
          <w:rFonts w:ascii="Calibri" w:hAnsi="Calibri" w:cs="Calibri"/>
          <w:sz w:val="22"/>
          <w:szCs w:val="22"/>
        </w:rPr>
      </w:pPr>
      <w:r w:rsidRPr="00DE6ACC">
        <w:rPr>
          <w:rFonts w:ascii="Calibri" w:hAnsi="Calibri" w:cs="Calibri"/>
          <w:sz w:val="22"/>
          <w:szCs w:val="22"/>
        </w:rPr>
        <w:t>↓</w:t>
      </w:r>
    </w:p>
    <w:p w14:paraId="72E59C61" w14:textId="77777777" w:rsidR="00DE6ACC" w:rsidRPr="00DE6ACC" w:rsidRDefault="00DE6ACC" w:rsidP="00DE6ACC">
      <w:pPr>
        <w:rPr>
          <w:rFonts w:ascii="Calibri" w:hAnsi="Calibri" w:cs="Calibri"/>
          <w:sz w:val="22"/>
          <w:szCs w:val="22"/>
        </w:rPr>
      </w:pPr>
      <w:r w:rsidRPr="00DE6ACC">
        <w:rPr>
          <w:rFonts w:ascii="Calibri" w:hAnsi="Calibri" w:cs="Calibri"/>
          <w:sz w:val="22"/>
          <w:szCs w:val="22"/>
        </w:rPr>
        <w:t>Risk Check</w:t>
      </w:r>
    </w:p>
    <w:p w14:paraId="6DAD2734" w14:textId="77777777" w:rsidR="00DE6ACC" w:rsidRPr="00DE6ACC" w:rsidRDefault="00DE6ACC" w:rsidP="00DE6ACC">
      <w:pPr>
        <w:rPr>
          <w:rFonts w:ascii="Calibri" w:hAnsi="Calibri" w:cs="Calibri"/>
          <w:sz w:val="22"/>
          <w:szCs w:val="22"/>
        </w:rPr>
      </w:pPr>
      <w:r w:rsidRPr="00DE6ACC">
        <w:rPr>
          <w:rFonts w:ascii="Calibri" w:hAnsi="Calibri" w:cs="Calibri"/>
          <w:sz w:val="22"/>
          <w:szCs w:val="22"/>
        </w:rPr>
        <w:t>↓</w:t>
      </w:r>
    </w:p>
    <w:p w14:paraId="3A1C26D3" w14:textId="26C5DA5F" w:rsidR="00DE6ACC" w:rsidRDefault="00DE6ACC" w:rsidP="00DE6ACC">
      <w:pPr>
        <w:rPr>
          <w:rFonts w:ascii="Calibri" w:hAnsi="Calibri" w:cs="Calibri"/>
          <w:sz w:val="22"/>
          <w:szCs w:val="22"/>
        </w:rPr>
      </w:pPr>
      <w:r w:rsidRPr="00DE6ACC">
        <w:rPr>
          <w:rFonts w:ascii="Calibri" w:hAnsi="Calibri" w:cs="Calibri"/>
          <w:sz w:val="22"/>
          <w:szCs w:val="22"/>
        </w:rPr>
        <w:t>Send to Broker</w:t>
      </w:r>
    </w:p>
    <w:p w14:paraId="37100CBA" w14:textId="77777777" w:rsidR="00DE6ACC" w:rsidRPr="00DE6ACC" w:rsidRDefault="00DE6ACC" w:rsidP="00DE6ACC">
      <w:pPr>
        <w:rPr>
          <w:rFonts w:ascii="Calibri" w:hAnsi="Calibri" w:cs="Calibri"/>
          <w:b/>
          <w:bCs/>
          <w:sz w:val="22"/>
          <w:szCs w:val="22"/>
        </w:rPr>
      </w:pPr>
      <w:r w:rsidRPr="00DE6ACC">
        <w:rPr>
          <w:rFonts w:ascii="Calibri" w:hAnsi="Calibri" w:cs="Calibri"/>
          <w:b/>
          <w:bCs/>
          <w:sz w:val="22"/>
          <w:szCs w:val="22"/>
        </w:rPr>
        <w:t xml:space="preserve">Aureon </w:t>
      </w:r>
    </w:p>
    <w:p w14:paraId="37A8C0F9" w14:textId="20E2C799" w:rsidR="00DE6ACC" w:rsidRPr="00DE6ACC" w:rsidRDefault="00DE6ACC" w:rsidP="00DE6ACC">
      <w:pPr>
        <w:rPr>
          <w:rFonts w:ascii="Calibri" w:hAnsi="Calibri" w:cs="Calibri"/>
          <w:sz w:val="22"/>
          <w:szCs w:val="22"/>
        </w:rPr>
      </w:pPr>
      <w:r w:rsidRPr="00DE6ACC">
        <w:rPr>
          <w:rFonts w:ascii="Calibri" w:hAnsi="Calibri" w:cs="Calibri"/>
          <w:sz w:val="22"/>
          <w:szCs w:val="22"/>
        </w:rPr>
        <w:t>Doctrine governance</w:t>
      </w:r>
    </w:p>
    <w:p w14:paraId="5FFFE7E6" w14:textId="77777777" w:rsidR="00DE6ACC" w:rsidRPr="00DE6ACC" w:rsidRDefault="00DE6ACC" w:rsidP="00DE6ACC">
      <w:pPr>
        <w:rPr>
          <w:rFonts w:ascii="Calibri" w:hAnsi="Calibri" w:cs="Calibri"/>
          <w:sz w:val="22"/>
          <w:szCs w:val="22"/>
        </w:rPr>
      </w:pPr>
      <w:r w:rsidRPr="00DE6ACC">
        <w:rPr>
          <w:rFonts w:ascii="Calibri" w:hAnsi="Calibri" w:cs="Calibri"/>
          <w:sz w:val="22"/>
          <w:szCs w:val="22"/>
        </w:rPr>
        <w:t>↓</w:t>
      </w:r>
    </w:p>
    <w:p w14:paraId="77703B6B" w14:textId="77777777" w:rsidR="00DE6ACC" w:rsidRPr="00DE6ACC" w:rsidRDefault="00DE6ACC" w:rsidP="00DE6ACC">
      <w:pPr>
        <w:rPr>
          <w:rFonts w:ascii="Calibri" w:hAnsi="Calibri" w:cs="Calibri"/>
          <w:sz w:val="22"/>
          <w:szCs w:val="22"/>
        </w:rPr>
      </w:pPr>
      <w:r w:rsidRPr="00DE6ACC">
        <w:rPr>
          <w:rFonts w:ascii="Calibri" w:hAnsi="Calibri" w:cs="Calibri"/>
          <w:sz w:val="22"/>
          <w:szCs w:val="22"/>
        </w:rPr>
        <w:t>Strategic signal evaluation</w:t>
      </w:r>
    </w:p>
    <w:p w14:paraId="27A4620C" w14:textId="77777777" w:rsidR="00DE6ACC" w:rsidRPr="00DE6ACC" w:rsidRDefault="00DE6ACC" w:rsidP="00DE6ACC">
      <w:pPr>
        <w:rPr>
          <w:rFonts w:ascii="Calibri" w:hAnsi="Calibri" w:cs="Calibri"/>
          <w:sz w:val="22"/>
          <w:szCs w:val="22"/>
        </w:rPr>
      </w:pPr>
      <w:r w:rsidRPr="00DE6ACC">
        <w:rPr>
          <w:rFonts w:ascii="Calibri" w:hAnsi="Calibri" w:cs="Calibri"/>
          <w:sz w:val="22"/>
          <w:szCs w:val="22"/>
        </w:rPr>
        <w:t>↓</w:t>
      </w:r>
    </w:p>
    <w:p w14:paraId="685228AB" w14:textId="77777777" w:rsidR="00DE6ACC" w:rsidRPr="00DE6ACC" w:rsidRDefault="00DE6ACC" w:rsidP="00DE6ACC">
      <w:pPr>
        <w:rPr>
          <w:rFonts w:ascii="Calibri" w:hAnsi="Calibri" w:cs="Calibri"/>
          <w:sz w:val="22"/>
          <w:szCs w:val="22"/>
        </w:rPr>
      </w:pPr>
      <w:r w:rsidRPr="00DE6ACC">
        <w:rPr>
          <w:rFonts w:ascii="Calibri" w:hAnsi="Calibri" w:cs="Calibri"/>
          <w:sz w:val="22"/>
          <w:szCs w:val="22"/>
        </w:rPr>
        <w:t>Lifecycle routing</w:t>
      </w:r>
    </w:p>
    <w:p w14:paraId="32EF1ECF" w14:textId="77777777" w:rsidR="00DE6ACC" w:rsidRPr="00DE6ACC" w:rsidRDefault="00DE6ACC" w:rsidP="00DE6ACC">
      <w:pPr>
        <w:rPr>
          <w:rFonts w:ascii="Calibri" w:hAnsi="Calibri" w:cs="Calibri"/>
          <w:sz w:val="22"/>
          <w:szCs w:val="22"/>
        </w:rPr>
      </w:pPr>
      <w:r w:rsidRPr="00DE6ACC">
        <w:rPr>
          <w:rFonts w:ascii="Calibri" w:hAnsi="Calibri" w:cs="Calibri"/>
          <w:sz w:val="22"/>
          <w:szCs w:val="22"/>
        </w:rPr>
        <w:t>↓</w:t>
      </w:r>
    </w:p>
    <w:p w14:paraId="1A7DBA40" w14:textId="77777777" w:rsidR="00DE6ACC" w:rsidRPr="00DE6ACC" w:rsidRDefault="00DE6ACC" w:rsidP="00DE6ACC">
      <w:pPr>
        <w:rPr>
          <w:rFonts w:ascii="Calibri" w:hAnsi="Calibri" w:cs="Calibri"/>
          <w:sz w:val="22"/>
          <w:szCs w:val="22"/>
        </w:rPr>
      </w:pPr>
      <w:r w:rsidRPr="00DE6ACC">
        <w:rPr>
          <w:rFonts w:ascii="Calibri" w:hAnsi="Calibri" w:cs="Calibri"/>
          <w:sz w:val="22"/>
          <w:szCs w:val="22"/>
        </w:rPr>
        <w:t>Execution agent</w:t>
      </w:r>
    </w:p>
    <w:p w14:paraId="645EF4ED" w14:textId="77777777" w:rsidR="00DE6ACC" w:rsidRPr="00DE6ACC" w:rsidRDefault="00DE6ACC" w:rsidP="00DE6ACC">
      <w:pPr>
        <w:rPr>
          <w:rFonts w:ascii="Calibri" w:hAnsi="Calibri" w:cs="Calibri"/>
          <w:sz w:val="22"/>
          <w:szCs w:val="22"/>
        </w:rPr>
      </w:pPr>
      <w:r w:rsidRPr="00DE6ACC">
        <w:rPr>
          <w:rFonts w:ascii="Calibri" w:hAnsi="Calibri" w:cs="Calibri"/>
          <w:sz w:val="22"/>
          <w:szCs w:val="22"/>
        </w:rPr>
        <w:t>↓</w:t>
      </w:r>
    </w:p>
    <w:p w14:paraId="4734DB3F" w14:textId="29E71379" w:rsidR="00DE6ACC" w:rsidRDefault="00DE6ACC" w:rsidP="00DE6ACC">
      <w:pPr>
        <w:rPr>
          <w:rFonts w:ascii="Calibri" w:hAnsi="Calibri" w:cs="Calibri"/>
          <w:sz w:val="22"/>
          <w:szCs w:val="22"/>
        </w:rPr>
      </w:pPr>
      <w:r w:rsidRPr="00DE6ACC">
        <w:rPr>
          <w:rFonts w:ascii="Calibri" w:hAnsi="Calibri" w:cs="Calibri"/>
          <w:sz w:val="22"/>
          <w:szCs w:val="22"/>
        </w:rPr>
        <w:t>Human approval</w:t>
      </w:r>
    </w:p>
    <w:p w14:paraId="11C46C6E" w14:textId="77777777" w:rsidR="00E613A5" w:rsidRDefault="00E613A5">
      <w:pPr>
        <w:rPr>
          <w:rFonts w:ascii="Calibri" w:hAnsi="Calibri" w:cs="Calibri"/>
          <w:sz w:val="22"/>
          <w:szCs w:val="22"/>
        </w:rPr>
      </w:pPr>
    </w:p>
    <w:p w14:paraId="57CB5526" w14:textId="77777777" w:rsidR="00E613A5" w:rsidRDefault="00E613A5">
      <w:pPr>
        <w:rPr>
          <w:rFonts w:ascii="Calibri" w:hAnsi="Calibri" w:cs="Calibri"/>
          <w:sz w:val="22"/>
          <w:szCs w:val="22"/>
        </w:rPr>
      </w:pPr>
    </w:p>
    <w:p w14:paraId="28668D90" w14:textId="77777777" w:rsidR="00E613A5" w:rsidRDefault="00E613A5">
      <w:pPr>
        <w:rPr>
          <w:rFonts w:ascii="Calibri" w:hAnsi="Calibri" w:cs="Calibri"/>
          <w:sz w:val="22"/>
          <w:szCs w:val="22"/>
        </w:rPr>
      </w:pPr>
    </w:p>
    <w:p w14:paraId="341ED97F" w14:textId="7EED7471" w:rsidR="00E613A5" w:rsidRDefault="00E613A5">
      <w:pPr>
        <w:rPr>
          <w:rFonts w:ascii="Calibri" w:hAnsi="Calibri" w:cs="Calibri"/>
          <w:sz w:val="22"/>
          <w:szCs w:val="22"/>
        </w:rPr>
      </w:pPr>
      <w:r>
        <w:rPr>
          <w:rFonts w:ascii="Calibri" w:hAnsi="Calibri" w:cs="Calibri"/>
          <w:sz w:val="22"/>
          <w:szCs w:val="22"/>
        </w:rPr>
        <w:t xml:space="preserve">What use cases are there here: </w:t>
      </w:r>
    </w:p>
    <w:p w14:paraId="6B44E22F" w14:textId="77777777" w:rsidR="00E613A5" w:rsidRDefault="00E613A5">
      <w:pPr>
        <w:rPr>
          <w:rFonts w:ascii="Calibri" w:hAnsi="Calibri" w:cs="Calibri"/>
          <w:sz w:val="22"/>
          <w:szCs w:val="22"/>
        </w:rPr>
      </w:pPr>
    </w:p>
    <w:p w14:paraId="2645054B" w14:textId="77777777" w:rsidR="00E613A5" w:rsidRPr="00347357" w:rsidRDefault="00E613A5" w:rsidP="00E613A5">
      <w:pPr>
        <w:spacing w:before="120" w:after="20"/>
        <w:rPr>
          <w:sz w:val="19"/>
          <w:szCs w:val="19"/>
        </w:rPr>
      </w:pPr>
      <w:r w:rsidRPr="00347357">
        <w:rPr>
          <w:b/>
          <w:bCs/>
          <w:color w:val="000000"/>
          <w:sz w:val="19"/>
          <w:szCs w:val="19"/>
        </w:rPr>
        <w:t>Vice President — Global Banking &amp; Markets</w:t>
      </w:r>
      <w:r w:rsidRPr="00347357">
        <w:rPr>
          <w:color w:val="000000"/>
          <w:sz w:val="19"/>
          <w:szCs w:val="19"/>
        </w:rPr>
        <w:t xml:space="preserve"> | </w:t>
      </w:r>
      <w:r w:rsidRPr="00347357">
        <w:rPr>
          <w:b/>
          <w:bCs/>
          <w:color w:val="000000"/>
          <w:sz w:val="19"/>
          <w:szCs w:val="19"/>
        </w:rPr>
        <w:t>Bank of America</w:t>
      </w:r>
      <w:r w:rsidRPr="00347357">
        <w:rPr>
          <w:color w:val="000000"/>
          <w:sz w:val="19"/>
          <w:szCs w:val="19"/>
        </w:rPr>
        <w:t xml:space="preserve"> | </w:t>
      </w:r>
      <w:r w:rsidRPr="00347357">
        <w:rPr>
          <w:i/>
          <w:iCs/>
          <w:color w:val="000000"/>
          <w:sz w:val="19"/>
          <w:szCs w:val="19"/>
        </w:rPr>
        <w:t>Apr 2015 – Nov 2021</w:t>
      </w:r>
    </w:p>
    <w:p w14:paraId="40E8DB0C" w14:textId="77777777" w:rsidR="00E613A5" w:rsidRPr="00347357" w:rsidRDefault="00E613A5" w:rsidP="00E613A5">
      <w:pPr>
        <w:spacing w:before="20" w:after="40"/>
        <w:rPr>
          <w:sz w:val="19"/>
          <w:szCs w:val="19"/>
        </w:rPr>
      </w:pPr>
      <w:r w:rsidRPr="00347357">
        <w:rPr>
          <w:i/>
          <w:iCs/>
          <w:color w:val="000000"/>
          <w:sz w:val="19"/>
          <w:szCs w:val="19"/>
        </w:rPr>
        <w:lastRenderedPageBreak/>
        <w:t>Full client engagement lifecycle owner across Custody, IPA, and Escrow — mandate origination, RFP/RFI co-leadership, solution design, platform implementation, and operational transformation. Sole senior client-facing executive for LATAM markets ($40B AUA).</w:t>
      </w:r>
    </w:p>
    <w:p w14:paraId="40283C2B" w14:textId="77777777" w:rsidR="00E613A5" w:rsidRPr="00347357" w:rsidRDefault="00E613A5" w:rsidP="00E613A5">
      <w:pPr>
        <w:pStyle w:val="ListParagraph"/>
        <w:numPr>
          <w:ilvl w:val="0"/>
          <w:numId w:val="2"/>
        </w:numPr>
        <w:spacing w:before="24" w:after="24" w:line="240" w:lineRule="auto"/>
        <w:contextualSpacing w:val="0"/>
        <w:rPr>
          <w:sz w:val="19"/>
          <w:szCs w:val="19"/>
        </w:rPr>
      </w:pPr>
      <w:r w:rsidRPr="00347357">
        <w:rPr>
          <w:b/>
          <w:bCs/>
          <w:color w:val="000000"/>
          <w:sz w:val="19"/>
          <w:szCs w:val="19"/>
        </w:rPr>
        <w:t xml:space="preserve">Large-Scale Platform Migration: </w:t>
      </w:r>
      <w:r w:rsidRPr="00347357">
        <w:rPr>
          <w:color w:val="000000"/>
          <w:sz w:val="19"/>
          <w:szCs w:val="19"/>
        </w:rPr>
        <w:t>Led governance and execution oversight for $20B+ custody platform migration — data mapping, current/future-state requirements, cross-functional stakeholder alignment, and phased production transition across Product, Operations, and Technology.</w:t>
      </w:r>
    </w:p>
    <w:p w14:paraId="62990B2C" w14:textId="77777777" w:rsidR="00E613A5" w:rsidRPr="00347357" w:rsidRDefault="00E613A5" w:rsidP="00E613A5">
      <w:pPr>
        <w:pStyle w:val="ListParagraph"/>
        <w:numPr>
          <w:ilvl w:val="0"/>
          <w:numId w:val="2"/>
        </w:numPr>
        <w:spacing w:before="24" w:after="24" w:line="240" w:lineRule="auto"/>
        <w:contextualSpacing w:val="0"/>
        <w:rPr>
          <w:sz w:val="19"/>
          <w:szCs w:val="19"/>
        </w:rPr>
      </w:pPr>
      <w:r w:rsidRPr="00347357">
        <w:rPr>
          <w:b/>
          <w:bCs/>
          <w:color w:val="000000"/>
          <w:sz w:val="19"/>
          <w:szCs w:val="19"/>
        </w:rPr>
        <w:t xml:space="preserve">Acting Head of Region — LATAM: </w:t>
      </w:r>
      <w:r w:rsidRPr="00347357">
        <w:rPr>
          <w:color w:val="000000"/>
          <w:sz w:val="19"/>
          <w:szCs w:val="19"/>
        </w:rPr>
        <w:t>Served as sole senior executive for Custody, IPA, and Escrow across LATAM markets — direct COO/CIO-level engagement driving 12% YoY growth and $14M+ in new revenue across priority institutional clients.</w:t>
      </w:r>
    </w:p>
    <w:p w14:paraId="244E70C0" w14:textId="77777777" w:rsidR="00E613A5" w:rsidRPr="00347357" w:rsidRDefault="00E613A5" w:rsidP="00E613A5">
      <w:pPr>
        <w:pStyle w:val="ListParagraph"/>
        <w:numPr>
          <w:ilvl w:val="0"/>
          <w:numId w:val="2"/>
        </w:numPr>
        <w:spacing w:before="24" w:after="24" w:line="240" w:lineRule="auto"/>
        <w:contextualSpacing w:val="0"/>
        <w:rPr>
          <w:sz w:val="19"/>
          <w:szCs w:val="19"/>
        </w:rPr>
      </w:pPr>
      <w:r w:rsidRPr="00347357">
        <w:rPr>
          <w:b/>
          <w:bCs/>
          <w:color w:val="000000"/>
          <w:sz w:val="19"/>
          <w:szCs w:val="19"/>
        </w:rPr>
        <w:t xml:space="preserve">Mandate Origination &amp; RFP/RFI Co-Leadership: </w:t>
      </w:r>
      <w:r w:rsidRPr="00347357">
        <w:rPr>
          <w:color w:val="000000"/>
          <w:sz w:val="19"/>
          <w:szCs w:val="19"/>
        </w:rPr>
        <w:t>Originated and co-led custody, IPA, and escrow mandates across LATAM institutional markets — partnering with Product and Solutions teams on RFP/RFI responses, solution architecture, and commercial structuring across a $40B AUA book generating $8.7M in annual revenue.</w:t>
      </w:r>
    </w:p>
    <w:p w14:paraId="70484073" w14:textId="77777777" w:rsidR="00E613A5" w:rsidRPr="00347357" w:rsidRDefault="00E613A5" w:rsidP="00E613A5">
      <w:pPr>
        <w:pStyle w:val="ListParagraph"/>
        <w:numPr>
          <w:ilvl w:val="0"/>
          <w:numId w:val="2"/>
        </w:numPr>
        <w:spacing w:before="24" w:after="24" w:line="240" w:lineRule="auto"/>
        <w:contextualSpacing w:val="0"/>
        <w:rPr>
          <w:sz w:val="19"/>
          <w:szCs w:val="19"/>
        </w:rPr>
      </w:pPr>
      <w:r w:rsidRPr="00347357">
        <w:rPr>
          <w:b/>
          <w:bCs/>
          <w:color w:val="000000"/>
          <w:sz w:val="19"/>
          <w:szCs w:val="19"/>
        </w:rPr>
        <w:t xml:space="preserve">Complex Mandate Implementation: </w:t>
      </w:r>
      <w:r w:rsidRPr="00347357">
        <w:rPr>
          <w:color w:val="000000"/>
          <w:sz w:val="19"/>
          <w:szCs w:val="19"/>
        </w:rPr>
        <w:t>Directed full lifecycle onboarding of a $900M multi-entity custody mandate — data migration governance, lifecycle workflow mapping, UAT execution, and controlled production cutover.</w:t>
      </w:r>
    </w:p>
    <w:p w14:paraId="1EDD7FA7" w14:textId="77777777" w:rsidR="00E613A5" w:rsidRPr="00347357" w:rsidRDefault="00E613A5" w:rsidP="00E613A5">
      <w:pPr>
        <w:pStyle w:val="ListParagraph"/>
        <w:numPr>
          <w:ilvl w:val="0"/>
          <w:numId w:val="2"/>
        </w:numPr>
        <w:spacing w:before="24" w:after="24" w:line="240" w:lineRule="auto"/>
        <w:contextualSpacing w:val="0"/>
        <w:rPr>
          <w:sz w:val="19"/>
          <w:szCs w:val="19"/>
        </w:rPr>
      </w:pPr>
      <w:r w:rsidRPr="00347357">
        <w:rPr>
          <w:b/>
          <w:bCs/>
          <w:color w:val="000000"/>
          <w:sz w:val="19"/>
          <w:szCs w:val="19"/>
        </w:rPr>
        <w:t xml:space="preserve">UCITS Cross-Listing Execution: </w:t>
      </w:r>
      <w:r w:rsidRPr="00347357">
        <w:rPr>
          <w:color w:val="000000"/>
          <w:sz w:val="19"/>
          <w:szCs w:val="19"/>
        </w:rPr>
        <w:t>Coordinated implementation of an $8B UCITS cross-listing (LSE → BMV/SIC) across three lines of business — requirements alignment across Custody, IPA, and Escrow generating $14M in new revenue through structured delivery.</w:t>
      </w:r>
    </w:p>
    <w:p w14:paraId="3276F785" w14:textId="77777777" w:rsidR="00E613A5" w:rsidRPr="00347357" w:rsidRDefault="00E613A5" w:rsidP="00E613A5">
      <w:pPr>
        <w:pStyle w:val="ListParagraph"/>
        <w:numPr>
          <w:ilvl w:val="0"/>
          <w:numId w:val="2"/>
        </w:numPr>
        <w:spacing w:before="24" w:after="24" w:line="240" w:lineRule="auto"/>
        <w:contextualSpacing w:val="0"/>
        <w:rPr>
          <w:sz w:val="19"/>
          <w:szCs w:val="19"/>
        </w:rPr>
      </w:pPr>
      <w:r w:rsidRPr="00347357">
        <w:rPr>
          <w:b/>
          <w:bCs/>
          <w:color w:val="000000"/>
          <w:sz w:val="19"/>
          <w:szCs w:val="19"/>
        </w:rPr>
        <w:t xml:space="preserve">Regulatory &amp; Compliance Governance: </w:t>
      </w:r>
      <w:r w:rsidRPr="00347357">
        <w:rPr>
          <w:color w:val="000000"/>
          <w:sz w:val="19"/>
          <w:szCs w:val="19"/>
        </w:rPr>
        <w:t>Directed firmwide OFAC assessment of a $190M PDVSA bond transaction — aligned Legal, Compliance, and Custody to validate OFAC-compliant settlement via Euroclear, preserving client execution while eliminating sanctions exposure.</w:t>
      </w:r>
    </w:p>
    <w:p w14:paraId="19928D57" w14:textId="77777777" w:rsidR="00E613A5" w:rsidRDefault="00E613A5">
      <w:pPr>
        <w:rPr>
          <w:rFonts w:ascii="Calibri" w:hAnsi="Calibri" w:cs="Calibri"/>
          <w:sz w:val="22"/>
          <w:szCs w:val="22"/>
        </w:rPr>
      </w:pPr>
    </w:p>
    <w:p w14:paraId="7CFE5A76" w14:textId="0B77AE5D" w:rsidR="00E613A5" w:rsidRPr="006976A9" w:rsidRDefault="00E613A5">
      <w:pPr>
        <w:rPr>
          <w:rFonts w:ascii="Calibri" w:hAnsi="Calibri" w:cs="Calibri"/>
          <w:sz w:val="22"/>
          <w:szCs w:val="22"/>
        </w:rPr>
      </w:pPr>
      <w:r>
        <w:rPr>
          <w:rFonts w:ascii="Calibri" w:hAnsi="Calibri" w:cs="Calibri"/>
          <w:sz w:val="22"/>
          <w:szCs w:val="22"/>
        </w:rPr>
        <w:t xml:space="preserve">How do we properly instruct product creation within the OS? </w:t>
      </w:r>
    </w:p>
    <w:sectPr w:rsidR="00E613A5" w:rsidRPr="006976A9" w:rsidSect="00E84F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85803"/>
    <w:multiLevelType w:val="multilevel"/>
    <w:tmpl w:val="64C2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40477"/>
    <w:multiLevelType w:val="hybridMultilevel"/>
    <w:tmpl w:val="D7A6B870"/>
    <w:lvl w:ilvl="0" w:tplc="445CD3BC">
      <w:start w:val="1"/>
      <w:numFmt w:val="bullet"/>
      <w:lvlText w:val="•"/>
      <w:lvlJc w:val="left"/>
      <w:pPr>
        <w:ind w:left="480" w:hanging="240"/>
      </w:pPr>
    </w:lvl>
    <w:lvl w:ilvl="1" w:tplc="6D6C5B16">
      <w:numFmt w:val="decimal"/>
      <w:lvlText w:val=""/>
      <w:lvlJc w:val="left"/>
    </w:lvl>
    <w:lvl w:ilvl="2" w:tplc="D2F0C340">
      <w:numFmt w:val="decimal"/>
      <w:lvlText w:val=""/>
      <w:lvlJc w:val="left"/>
    </w:lvl>
    <w:lvl w:ilvl="3" w:tplc="019ABD1C">
      <w:numFmt w:val="decimal"/>
      <w:lvlText w:val=""/>
      <w:lvlJc w:val="left"/>
    </w:lvl>
    <w:lvl w:ilvl="4" w:tplc="7BA04972">
      <w:numFmt w:val="decimal"/>
      <w:lvlText w:val=""/>
      <w:lvlJc w:val="left"/>
    </w:lvl>
    <w:lvl w:ilvl="5" w:tplc="0D6C4D2A">
      <w:numFmt w:val="decimal"/>
      <w:lvlText w:val=""/>
      <w:lvlJc w:val="left"/>
    </w:lvl>
    <w:lvl w:ilvl="6" w:tplc="9348C242">
      <w:numFmt w:val="decimal"/>
      <w:lvlText w:val=""/>
      <w:lvlJc w:val="left"/>
    </w:lvl>
    <w:lvl w:ilvl="7" w:tplc="E1FE4D88">
      <w:numFmt w:val="decimal"/>
      <w:lvlText w:val=""/>
      <w:lvlJc w:val="left"/>
    </w:lvl>
    <w:lvl w:ilvl="8" w:tplc="C79C5302">
      <w:numFmt w:val="decimal"/>
      <w:lvlText w:val=""/>
      <w:lvlJc w:val="left"/>
    </w:lvl>
  </w:abstractNum>
  <w:num w:numId="1" w16cid:durableId="728303316">
    <w:abstractNumId w:val="0"/>
  </w:num>
  <w:num w:numId="2" w16cid:durableId="19192875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75F"/>
    <w:rsid w:val="001C4EE4"/>
    <w:rsid w:val="00267DE9"/>
    <w:rsid w:val="002E632E"/>
    <w:rsid w:val="0035375F"/>
    <w:rsid w:val="005D62B1"/>
    <w:rsid w:val="0069524A"/>
    <w:rsid w:val="006976A9"/>
    <w:rsid w:val="006F0C02"/>
    <w:rsid w:val="007B0B03"/>
    <w:rsid w:val="008557D6"/>
    <w:rsid w:val="00944F01"/>
    <w:rsid w:val="00970E79"/>
    <w:rsid w:val="00CC1496"/>
    <w:rsid w:val="00DE6ACC"/>
    <w:rsid w:val="00E613A5"/>
    <w:rsid w:val="00E84F1E"/>
    <w:rsid w:val="00FA6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DE30A"/>
  <w15:chartTrackingRefBased/>
  <w15:docId w15:val="{39ED4AC0-2BA0-2142-AF0D-ABB6E94B4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75F"/>
    <w:rPr>
      <w:rFonts w:eastAsiaTheme="majorEastAsia" w:cstheme="majorBidi"/>
      <w:color w:val="272727" w:themeColor="text1" w:themeTint="D8"/>
    </w:rPr>
  </w:style>
  <w:style w:type="paragraph" w:styleId="Title">
    <w:name w:val="Title"/>
    <w:basedOn w:val="Normal"/>
    <w:next w:val="Normal"/>
    <w:link w:val="TitleChar"/>
    <w:uiPriority w:val="10"/>
    <w:qFormat/>
    <w:rsid w:val="00353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75F"/>
    <w:pPr>
      <w:spacing w:before="160"/>
      <w:jc w:val="center"/>
    </w:pPr>
    <w:rPr>
      <w:i/>
      <w:iCs/>
      <w:color w:val="404040" w:themeColor="text1" w:themeTint="BF"/>
    </w:rPr>
  </w:style>
  <w:style w:type="character" w:customStyle="1" w:styleId="QuoteChar">
    <w:name w:val="Quote Char"/>
    <w:basedOn w:val="DefaultParagraphFont"/>
    <w:link w:val="Quote"/>
    <w:uiPriority w:val="29"/>
    <w:rsid w:val="0035375F"/>
    <w:rPr>
      <w:i/>
      <w:iCs/>
      <w:color w:val="404040" w:themeColor="text1" w:themeTint="BF"/>
    </w:rPr>
  </w:style>
  <w:style w:type="paragraph" w:styleId="ListParagraph">
    <w:name w:val="List Paragraph"/>
    <w:basedOn w:val="Normal"/>
    <w:qFormat/>
    <w:rsid w:val="0035375F"/>
    <w:pPr>
      <w:ind w:left="720"/>
      <w:contextualSpacing/>
    </w:pPr>
  </w:style>
  <w:style w:type="character" w:styleId="IntenseEmphasis">
    <w:name w:val="Intense Emphasis"/>
    <w:basedOn w:val="DefaultParagraphFont"/>
    <w:uiPriority w:val="21"/>
    <w:qFormat/>
    <w:rsid w:val="0035375F"/>
    <w:rPr>
      <w:i/>
      <w:iCs/>
      <w:color w:val="0F4761" w:themeColor="accent1" w:themeShade="BF"/>
    </w:rPr>
  </w:style>
  <w:style w:type="paragraph" w:styleId="IntenseQuote">
    <w:name w:val="Intense Quote"/>
    <w:basedOn w:val="Normal"/>
    <w:next w:val="Normal"/>
    <w:link w:val="IntenseQuoteChar"/>
    <w:uiPriority w:val="30"/>
    <w:qFormat/>
    <w:rsid w:val="00353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75F"/>
    <w:rPr>
      <w:i/>
      <w:iCs/>
      <w:color w:val="0F4761" w:themeColor="accent1" w:themeShade="BF"/>
    </w:rPr>
  </w:style>
  <w:style w:type="character" w:styleId="IntenseReference">
    <w:name w:val="Intense Reference"/>
    <w:basedOn w:val="DefaultParagraphFont"/>
    <w:uiPriority w:val="32"/>
    <w:qFormat/>
    <w:rsid w:val="0035375F"/>
    <w:rPr>
      <w:b/>
      <w:bCs/>
      <w:smallCaps/>
      <w:color w:val="0F4761" w:themeColor="accent1" w:themeShade="BF"/>
      <w:spacing w:val="5"/>
    </w:rPr>
  </w:style>
  <w:style w:type="paragraph" w:styleId="NormalWeb">
    <w:name w:val="Normal (Web)"/>
    <w:basedOn w:val="Normal"/>
    <w:uiPriority w:val="99"/>
    <w:semiHidden/>
    <w:unhideWhenUsed/>
    <w:rsid w:val="003537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375F"/>
    <w:rPr>
      <w:b/>
      <w:bCs/>
    </w:rPr>
  </w:style>
  <w:style w:type="character" w:styleId="HTMLCode">
    <w:name w:val="HTML Code"/>
    <w:basedOn w:val="DefaultParagraphFont"/>
    <w:uiPriority w:val="99"/>
    <w:semiHidden/>
    <w:unhideWhenUsed/>
    <w:rsid w:val="0035375F"/>
    <w:rPr>
      <w:rFonts w:ascii="Courier New" w:eastAsia="Times New Roman" w:hAnsi="Courier New" w:cs="Courier New"/>
      <w:sz w:val="20"/>
      <w:szCs w:val="20"/>
    </w:rPr>
  </w:style>
  <w:style w:type="character" w:styleId="Emphasis">
    <w:name w:val="Emphasis"/>
    <w:basedOn w:val="DefaultParagraphFont"/>
    <w:uiPriority w:val="20"/>
    <w:qFormat/>
    <w:rsid w:val="003537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1070</Words>
  <Characters>7722</Characters>
  <Application>Microsoft Office Word</Application>
  <DocSecurity>0</DocSecurity>
  <Lines>107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Ravelo</dc:creator>
  <cp:keywords/>
  <dc:description/>
  <cp:lastModifiedBy>Guillermo Ravelo</cp:lastModifiedBy>
  <cp:revision>4</cp:revision>
  <dcterms:created xsi:type="dcterms:W3CDTF">2026-03-11T15:36:00Z</dcterms:created>
  <dcterms:modified xsi:type="dcterms:W3CDTF">2026-03-11T17:43:00Z</dcterms:modified>
</cp:coreProperties>
</file>