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DE959" w14:textId="77777777" w:rsidR="003C1BB1" w:rsidRDefault="00000000">
      <w:r>
        <w:rPr>
          <w:b/>
        </w:rPr>
        <w:t>Project Aureon – Governance Architecture Update (March 2026)</w:t>
      </w:r>
    </w:p>
    <w:p w14:paraId="079DAD2A" w14:textId="77777777" w:rsidR="003C1BB1" w:rsidRDefault="00000000">
      <w:r>
        <w:t>Prepared by: Guillermo “Bill” Ravelo</w:t>
      </w:r>
    </w:p>
    <w:p w14:paraId="4708CFB7" w14:textId="77777777" w:rsidR="003C1BB1" w:rsidRDefault="00000000">
      <w:r>
        <w:t>Columbia University – MS in Technology Management</w:t>
      </w:r>
    </w:p>
    <w:p w14:paraId="381586CF" w14:textId="77777777" w:rsidR="003C1BB1" w:rsidRDefault="003C1BB1"/>
    <w:p w14:paraId="2CE1792F" w14:textId="77777777" w:rsidR="003C1BB1" w:rsidRDefault="00000000">
      <w:r>
        <w:rPr>
          <w:b/>
        </w:rPr>
        <w:t>1. Context</w:t>
      </w:r>
    </w:p>
    <w:p w14:paraId="60F2CC93" w14:textId="77777777" w:rsidR="003C1BB1" w:rsidRDefault="00000000">
      <w:r>
        <w:t>Aureon originally began as a trading workflow demonstration. During development it became clear that the system was naturally evolving into a governance architecture. The platform records the lifecycle of a trade decision including signal generation, doctrine validation, risk evaluation, compliance checks, human approvals, execution routing, and settlement confirmation.</w:t>
      </w:r>
    </w:p>
    <w:p w14:paraId="5D9F0EB3" w14:textId="77777777" w:rsidR="003C1BB1" w:rsidRDefault="00000000">
      <w:r>
        <w:t>This structure transforms Aureon into a pre‑trade governance and decision accountability platform for AI‑assisted financial systems.</w:t>
      </w:r>
    </w:p>
    <w:p w14:paraId="3A03C710" w14:textId="77777777" w:rsidR="003C1BB1" w:rsidRDefault="00000000">
      <w:r>
        <w:rPr>
          <w:b/>
        </w:rPr>
        <w:t>2. Governance Philosophy</w:t>
      </w:r>
    </w:p>
    <w:p w14:paraId="3DF88914" w14:textId="77777777" w:rsidR="003C1BB1" w:rsidRDefault="00000000">
      <w:r>
        <w:t>Aureon is not designed to eliminate market crises or volatility events. Financial markets inevitably experience stress, regime change, and black‑swan disruptions. The objective of Aureon is disciplined navigation rather than storm avoidance.</w:t>
      </w:r>
    </w:p>
    <w:p w14:paraId="02AF9D0F" w14:textId="77777777" w:rsidR="003C1BB1" w:rsidRDefault="00000000">
      <w:r>
        <w:t>The platform ensures governance rules remain active during volatility, risk management remains visible, compliance oversight remains intact, and execution decisions remain explainable.</w:t>
      </w:r>
    </w:p>
    <w:p w14:paraId="2629054B" w14:textId="77777777" w:rsidR="003C1BB1" w:rsidRDefault="00000000">
      <w:r>
        <w:rPr>
          <w:b/>
        </w:rPr>
        <w:t>3. Human‑Agent Governance Model</w:t>
      </w:r>
    </w:p>
    <w:p w14:paraId="0EBCD49C" w14:textId="77777777" w:rsidR="003C1BB1" w:rsidRDefault="00000000">
      <w:r>
        <w:t>Aureon operates under a Human‑in‑the‑Loop governance model. Agents may generate signals and recommend trades but final authority remains with human operators. Agents operate within bounded doctrine and cannot independently modify governance rules.</w:t>
      </w:r>
    </w:p>
    <w:p w14:paraId="7D351E4A" w14:textId="77777777" w:rsidR="003C1BB1" w:rsidRDefault="00000000">
      <w:r>
        <w:t>This model aligns with regulatory expectations under MiFID II algorithmic trading oversight, SR 11‑7 model governance standards, and emerging AI explainability frameworks.</w:t>
      </w:r>
    </w:p>
    <w:p w14:paraId="79D7F0DE" w14:textId="77777777" w:rsidR="003C1BB1" w:rsidRDefault="00000000">
      <w:r>
        <w:rPr>
          <w:b/>
        </w:rPr>
        <w:t>4. Aureon Architecture Layers</w:t>
      </w:r>
    </w:p>
    <w:p w14:paraId="6C407BBE" w14:textId="77777777" w:rsidR="003C1BB1" w:rsidRDefault="00000000">
      <w:r>
        <w:t>Layer 0 – Verana (Network Governance)</w:t>
      </w:r>
    </w:p>
    <w:p w14:paraId="00D8150C" w14:textId="77777777" w:rsidR="003C1BB1" w:rsidRDefault="00000000">
      <w:r>
        <w:t>Responsibilities include vendor SLA enforcement, counterparty mapping, jurisdictional rule structures, and regulatory escalation authority.</w:t>
      </w:r>
    </w:p>
    <w:p w14:paraId="7CAC2BEC" w14:textId="77777777" w:rsidR="003C1BB1" w:rsidRDefault="00000000">
      <w:r>
        <w:t>Layer 1 – Mentat (Strategic Intelligence)</w:t>
      </w:r>
    </w:p>
    <w:p w14:paraId="741DF046" w14:textId="77777777" w:rsidR="003C1BB1" w:rsidRDefault="00000000">
      <w:r>
        <w:t>Mentat interprets doctrine, evaluates strategy alignment, and processes jurisdictional regulatory logic.</w:t>
      </w:r>
    </w:p>
    <w:p w14:paraId="3B979641" w14:textId="77777777" w:rsidR="003C1BB1" w:rsidRDefault="00000000">
      <w:r>
        <w:lastRenderedPageBreak/>
        <w:t>Layer 1B – Risk Manager</w:t>
      </w:r>
    </w:p>
    <w:p w14:paraId="416C19F3" w14:textId="77777777" w:rsidR="003C1BB1" w:rsidRDefault="00000000">
      <w:r>
        <w:t>The Risk Manager layer introduces independent portfolio risk governance aligned with CFA portfolio management principles. Responsibilities include risk budgets, drawdown limits, concentration thresholds, and liquidity constraints.</w:t>
      </w:r>
    </w:p>
    <w:p w14:paraId="6B2C4D0D" w14:textId="77777777" w:rsidR="003C1BB1" w:rsidRDefault="00000000">
      <w:r>
        <w:t>Layer 2 – Kaladan (Lifecycle Orchestration)</w:t>
      </w:r>
    </w:p>
    <w:p w14:paraId="1D94DA65" w14:textId="77777777" w:rsidR="003C1BB1" w:rsidRDefault="00000000">
      <w:r>
        <w:t>Kaladan manages compliant routing, fallback execution logic, jurisdictional routing containers, and settlement preparation.</w:t>
      </w:r>
    </w:p>
    <w:p w14:paraId="728B131B" w14:textId="77777777" w:rsidR="003C1BB1" w:rsidRDefault="00000000">
      <w:r>
        <w:t>Layer 3 – Thifur Agents (Execution Layer)</w:t>
      </w:r>
    </w:p>
    <w:p w14:paraId="5C68D869" w14:textId="77777777" w:rsidR="003C1BB1" w:rsidRDefault="00000000">
      <w:r>
        <w:t>Thifur agents operate with bounded autonomy and may recommend execution actions. Three operational modes exist: Thifur‑R (deterministic settlement operations), Thifur‑J (portfolio coordination), and Thifur‑H (adaptive signal interpretation).</w:t>
      </w:r>
    </w:p>
    <w:p w14:paraId="3D4319AC" w14:textId="77777777" w:rsidR="003C1BB1" w:rsidRDefault="00000000">
      <w:r>
        <w:rPr>
          <w:b/>
        </w:rPr>
        <w:t>5. Doctrine Update Workbench</w:t>
      </w:r>
    </w:p>
    <w:p w14:paraId="523CBA0B" w14:textId="77777777" w:rsidR="003C1BB1" w:rsidRDefault="00000000">
      <w:r>
        <w:t>The Doctrine Update Workbench provides a controlled environment for governance rule changes. Doctrine proposals may originate from strategy teams, risk managers, compliance authorities, or regulatory updates.</w:t>
      </w:r>
    </w:p>
    <w:p w14:paraId="7EBA1AAC" w14:textId="77777777" w:rsidR="003C1BB1" w:rsidRDefault="00000000">
      <w:r>
        <w:t>Workflow: Proposal → Mentat interpretation → Risk evaluation → Compliance validation → Human authority approval.</w:t>
      </w:r>
    </w:p>
    <w:p w14:paraId="449E4127" w14:textId="77777777" w:rsidR="003C1BB1" w:rsidRDefault="00000000">
      <w:r>
        <w:rPr>
          <w:b/>
        </w:rPr>
        <w:t>6. Regulatory Replay Engine</w:t>
      </w:r>
    </w:p>
    <w:p w14:paraId="06365B00" w14:textId="77777777" w:rsidR="003C1BB1" w:rsidRDefault="00000000">
      <w:r>
        <w:t>The Regulatory Replay Engine reconstructs the lifecycle of any trade decision. It allows institutions to review the reasoning behind a trade including signal source, doctrine version, governance checks, risk validation, compliance validation, human approval, and execution confirmation.</w:t>
      </w:r>
    </w:p>
    <w:p w14:paraId="6E4DBCB4" w14:textId="77777777" w:rsidR="003C1BB1" w:rsidRDefault="00000000">
      <w:r>
        <w:rPr>
          <w:b/>
        </w:rPr>
        <w:t>7. Governance Fingerprint Engine</w:t>
      </w:r>
    </w:p>
    <w:p w14:paraId="374D3DF3" w14:textId="77777777" w:rsidR="003C1BB1" w:rsidRDefault="00000000">
      <w:r>
        <w:t>The Governance Fingerprint Engine generates a cryptographic fingerprint for each decision package before execution occurs. The fingerprint seals the decision environment and produces immutable evidence that governance checks occurred prior to execution.</w:t>
      </w:r>
    </w:p>
    <w:p w14:paraId="294E7729" w14:textId="77777777" w:rsidR="003C1BB1" w:rsidRDefault="00000000">
      <w:r>
        <w:rPr>
          <w:b/>
        </w:rPr>
        <w:t>8. Decision Lifecycle</w:t>
      </w:r>
    </w:p>
    <w:p w14:paraId="423E183E" w14:textId="77777777" w:rsidR="003C1BB1" w:rsidRDefault="00000000">
      <w:r>
        <w:t>Signal Generated → Doctrine Validation → Risk Manager Evaluation → Compliance Validation → Governance Fingerprint Generation → Human Approval → Execution → Settlement Confirmation → Replay Ledger.</w:t>
      </w:r>
    </w:p>
    <w:p w14:paraId="6334CCC7" w14:textId="77777777" w:rsidR="003C1BB1" w:rsidRDefault="00000000">
      <w:r>
        <w:rPr>
          <w:b/>
        </w:rPr>
        <w:t>9. Strategic Significance</w:t>
      </w:r>
    </w:p>
    <w:p w14:paraId="7BA0C85A" w14:textId="77777777" w:rsidR="003C1BB1" w:rsidRDefault="00000000">
      <w:r>
        <w:lastRenderedPageBreak/>
        <w:t>Aureon transforms traditional trading infrastructure into governance infrastructure. The platform enables institutions to reconstruct decisions, prove governance compliance, and maintain auditable records for every executed trade.</w:t>
      </w:r>
    </w:p>
    <w:p w14:paraId="623331A2" w14:textId="77777777" w:rsidR="003C1BB1" w:rsidRDefault="00000000">
      <w:r>
        <w:rPr>
          <w:b/>
        </w:rPr>
        <w:t>10. Product Positioning</w:t>
      </w:r>
    </w:p>
    <w:p w14:paraId="61040750" w14:textId="77777777" w:rsidR="003C1BB1" w:rsidRDefault="00000000">
      <w:r>
        <w:t>Aureon is a Pre‑Trade Governance and Decision Audit Platform designed for AI‑assisted trading environments. It sits between signal generation systems and order management systems to validate, record, and cryptographically seal the governance state of every trade decision before execution.</w:t>
      </w:r>
    </w:p>
    <w:p w14:paraId="729984BE" w14:textId="77777777" w:rsidR="003C1BB1" w:rsidRDefault="00000000">
      <w:r>
        <w:rPr>
          <w:b/>
        </w:rPr>
        <w:t>11. Core Value Proposition</w:t>
      </w:r>
    </w:p>
    <w:p w14:paraId="06865075" w14:textId="77777777" w:rsidR="003C1BB1" w:rsidRDefault="00000000">
      <w:r>
        <w:t>Aureon provides pre‑trade governance validation, AI decision explainability, institutional compliance logging, cryptographic audit evidence, and decision lifecycle reconstruction.</w:t>
      </w:r>
    </w:p>
    <w:p w14:paraId="69C94D7A" w14:textId="77777777" w:rsidR="003C1BB1" w:rsidRDefault="00000000">
      <w:r>
        <w:rPr>
          <w:b/>
        </w:rPr>
        <w:t>12. Target Users</w:t>
      </w:r>
    </w:p>
    <w:p w14:paraId="6AAE2B44" w14:textId="77777777" w:rsidR="003C1BB1" w:rsidRDefault="00000000">
      <w:r>
        <w:t>Target users include hedge funds deploying AI models, multi‑strategy asset managers, institutional crypto funds seeking compliance infrastructure, and family offices implementing automated strategies.</w:t>
      </w:r>
    </w:p>
    <w:p w14:paraId="36BEC9C3" w14:textId="77777777" w:rsidR="003C1BB1" w:rsidRDefault="00000000">
      <w:r>
        <w:rPr>
          <w:b/>
        </w:rPr>
        <w:t>13. Architecture Flow</w:t>
      </w:r>
    </w:p>
    <w:p w14:paraId="504F138F" w14:textId="77777777" w:rsidR="003C1BB1" w:rsidRDefault="00000000">
      <w:r>
        <w:t>AI / Quant Models → Signal Generators → Aureon Governance Layer (Doctrine, Risk, Compliance, Audit) → Replay Engine and Fingerprint Engine → Order Management System → Broker → Execution.</w:t>
      </w:r>
    </w:p>
    <w:sectPr w:rsidR="003C1B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7614747">
    <w:abstractNumId w:val="8"/>
  </w:num>
  <w:num w:numId="2" w16cid:durableId="511528519">
    <w:abstractNumId w:val="6"/>
  </w:num>
  <w:num w:numId="3" w16cid:durableId="1820421629">
    <w:abstractNumId w:val="5"/>
  </w:num>
  <w:num w:numId="4" w16cid:durableId="1295525549">
    <w:abstractNumId w:val="4"/>
  </w:num>
  <w:num w:numId="5" w16cid:durableId="1051731007">
    <w:abstractNumId w:val="7"/>
  </w:num>
  <w:num w:numId="6" w16cid:durableId="1653365302">
    <w:abstractNumId w:val="3"/>
  </w:num>
  <w:num w:numId="7" w16cid:durableId="1792478537">
    <w:abstractNumId w:val="2"/>
  </w:num>
  <w:num w:numId="8" w16cid:durableId="2037386648">
    <w:abstractNumId w:val="1"/>
  </w:num>
  <w:num w:numId="9" w16cid:durableId="1871991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1BB1"/>
    <w:rsid w:val="008E7304"/>
    <w:rsid w:val="00970E7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9F6075"/>
  <w14:defaultImageDpi w14:val="300"/>
  <w15:docId w15:val="{5B60B255-091D-DE42-930F-2697C7962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623</Words>
  <Characters>4386</Characters>
  <Application>Microsoft Office Word</Application>
  <DocSecurity>0</DocSecurity>
  <Lines>81</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Guillermo Ravelo</cp:lastModifiedBy>
  <cp:revision>2</cp:revision>
  <dcterms:created xsi:type="dcterms:W3CDTF">2026-03-12T20:11:00Z</dcterms:created>
  <dcterms:modified xsi:type="dcterms:W3CDTF">2026-03-12T20:11:00Z</dcterms:modified>
  <cp:category/>
</cp:coreProperties>
</file>