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B0EF" w14:textId="13C6DD06" w:rsidR="0035375F" w:rsidRDefault="0035375F" w:rsidP="0035375F">
      <w:pPr>
        <w:pStyle w:val="NormalWeb"/>
      </w:pPr>
      <w:r>
        <w:rPr>
          <w:rFonts w:ascii="Segoe UI" w:hAnsi="Segoe UI" w:cs="Segoe UI"/>
          <w:color w:val="141413"/>
          <w:shd w:val="clear" w:color="auto" w:fill="F0EEE6"/>
        </w:rPr>
        <w:t>I think one thing that I will need to add to the trades are compliant trade reports after HITL approval. So that it is not just systematically auditable but also real time by the compliance teams and managers.</w:t>
      </w:r>
    </w:p>
    <w:p w14:paraId="3C2A7236" w14:textId="23126782" w:rsidR="0035375F" w:rsidRDefault="0035375F" w:rsidP="0035375F">
      <w:pPr>
        <w:pStyle w:val="NormalWeb"/>
      </w:pPr>
      <w:r>
        <w:t xml:space="preserve">That's exactly the right instinct — and it closes the single most important gap in the current system. Right now Aureon has two things: systemic auditability through the SHA-256 lineage chain, and human authority logging in the governance tab. What it doesn't have is a </w:t>
      </w:r>
      <w:r>
        <w:rPr>
          <w:rStyle w:val="Strong"/>
          <w:rFonts w:eastAsiaTheme="majorEastAsia"/>
        </w:rPr>
        <w:t>formal compliance artifact</w:t>
      </w:r>
      <w:r>
        <w:t xml:space="preserve"> generated at the moment of execution — the document that a compliance officer or desk manager would actually need to review in real time, not reconstruct after the fact from audit logs.</w:t>
      </w:r>
    </w:p>
    <w:p w14:paraId="436C4F65" w14:textId="77777777" w:rsidR="0035375F" w:rsidRDefault="0035375F" w:rsidP="0035375F">
      <w:pPr>
        <w:pStyle w:val="NormalWeb"/>
      </w:pPr>
      <w:r>
        <w:t>Here's how I'd think through the design before you build it:</w:t>
      </w:r>
    </w:p>
    <w:p w14:paraId="2D2E9E00" w14:textId="77777777" w:rsidR="0035375F" w:rsidRDefault="0035375F" w:rsidP="0035375F">
      <w:pPr>
        <w:pStyle w:val="NormalWeb"/>
      </w:pPr>
      <w:r>
        <w:rPr>
          <w:rStyle w:val="Strong"/>
          <w:rFonts w:eastAsiaTheme="majorEastAsia"/>
        </w:rPr>
        <w:t>What triggers it.</w:t>
      </w:r>
      <w:r>
        <w:t xml:space="preserve"> The report should fire the instant Kaladan L2 confirms execution — not when Bill approves, not when the gate clears, but when the position is recorded and cash is deducted. That's the moment the trade legally exists. Everything before that is a decision. Everything after is a reportable transaction.</w:t>
      </w:r>
    </w:p>
    <w:p w14:paraId="70702456" w14:textId="77777777" w:rsidR="0035375F" w:rsidRDefault="0035375F" w:rsidP="0035375F">
      <w:pPr>
        <w:pStyle w:val="NormalWeb"/>
      </w:pPr>
      <w:r>
        <w:rPr>
          <w:rStyle w:val="Strong"/>
          <w:rFonts w:eastAsiaTheme="majorEastAsia"/>
        </w:rPr>
        <w:t>What it contains.</w:t>
      </w:r>
      <w:r>
        <w:t xml:space="preserve"> Think in three sections. First, the trade identity block: symbol, asset class, direction, quantity, executed price, notional, settlement window, execution timestamp UTC, decision ID, agent designation (THIFUR_H), and the authority hash. Second, the governance block: doctrine version at time of execution, all five pre-trade gate results with their PASS/WARN/FAIL status, the Tier 1 authority who approved it with timestamp. Third, the risk state block: drawdown at execution, position concentration post-trade, VaR delta, cash available before and after. That last section is what makes this useful to a manager in real time — they can see the portfolio state at the exact moment the trade was made, not an approximation from the next cycle.</w:t>
      </w:r>
    </w:p>
    <w:p w14:paraId="192EFC3E" w14:textId="77777777" w:rsidR="0035375F" w:rsidRDefault="0035375F" w:rsidP="0035375F">
      <w:pPr>
        <w:pStyle w:val="NormalWeb"/>
      </w:pPr>
      <w:r>
        <w:rPr>
          <w:rStyle w:val="Strong"/>
          <w:rFonts w:eastAsiaTheme="majorEastAsia"/>
        </w:rPr>
        <w:t>Which layer owns it.</w:t>
      </w:r>
      <w:r>
        <w:t xml:space="preserve"> This sits cleanly in Kaladan L2. Kaladan already owns lifecycle orchestration and the settlement pipeline — a compliance report is a lifecycle artifact, not an execution artifact. Thifur executes, Kaladan documents. The report becomes the formal handoff between the execution layer and the oversight function.</w:t>
      </w:r>
    </w:p>
    <w:p w14:paraId="3A8F99E2" w14:textId="77777777" w:rsidR="0035375F" w:rsidRDefault="0035375F" w:rsidP="0035375F">
      <w:pPr>
        <w:pStyle w:val="NormalWeb"/>
      </w:pPr>
      <w:r>
        <w:rPr>
          <w:rStyle w:val="Strong"/>
          <w:rFonts w:eastAsiaTheme="majorEastAsia"/>
        </w:rPr>
        <w:t>How it reaches compliance.</w:t>
      </w:r>
      <w:r>
        <w:t xml:space="preserve"> Three delivery surfaces. A dedicated tab or sub-panel in the existing Reports section showing a chronological feed of all executed trade reports — real time, queryable by compliance teams or managers. A new API endpoint, something like </w:t>
      </w:r>
      <w:r>
        <w:rPr>
          <w:rStyle w:val="HTMLCode"/>
          <w:rFonts w:eastAsiaTheme="majorEastAsia"/>
        </w:rPr>
        <w:t>/api/trade-reports/&lt;decision_id&gt;</w:t>
      </w:r>
      <w:r>
        <w:t>, that returns the full report as structured JSON for any downstream system. And an immediate email dispatch using the existing email scheduler — a specific trade confirmation report sent within seconds of execution, separate from the daily close and weekly P&amp;L reports. Three surfaces means three different oversight functions can consume it the way that works for them.</w:t>
      </w:r>
    </w:p>
    <w:p w14:paraId="320F5842" w14:textId="77777777" w:rsidR="0035375F" w:rsidRDefault="0035375F" w:rsidP="0035375F">
      <w:pPr>
        <w:pStyle w:val="NormalWeb"/>
      </w:pPr>
      <w:r>
        <w:rPr>
          <w:rStyle w:val="Strong"/>
          <w:rFonts w:eastAsiaTheme="majorEastAsia"/>
        </w:rPr>
        <w:t>The regulatory hook.</w:t>
      </w:r>
      <w:r>
        <w:t xml:space="preserve"> MiFID II Art. 17/RTS 6 requires that algorithmic trading systems maintain complete transaction records including the identity of the person who authorized each order. Your human authority log already captures that — the trade report bundles it into a single, timestamped, signed document that directly satisfies that disclosure requirement. SR 11-7 requires documentation of model outputs and the decisions that governed them — your pre-trade gate results embedded in the report are exactly that. You're not retrofitting compliance. You're formalizing what the system already knows into the artifact that regulators actually want to see.</w:t>
      </w:r>
    </w:p>
    <w:p w14:paraId="11B997B3" w14:textId="77777777" w:rsidR="0035375F" w:rsidRDefault="0035375F" w:rsidP="0035375F">
      <w:pPr>
        <w:pStyle w:val="NormalWeb"/>
      </w:pPr>
      <w:r>
        <w:rPr>
          <w:rStyle w:val="Strong"/>
          <w:rFonts w:eastAsiaTheme="majorEastAsia"/>
        </w:rPr>
        <w:t>The demo value.</w:t>
      </w:r>
      <w:r>
        <w:t xml:space="preserve"> In an interview context, this is the answer to the question every compliance-aware interviewer will ask: </w:t>
      </w:r>
      <w:r>
        <w:rPr>
          <w:rStyle w:val="Emphasis"/>
          <w:rFonts w:eastAsiaTheme="majorEastAsia"/>
        </w:rPr>
        <w:t>"How does a human oversight function know what the system did in real time?"</w:t>
      </w:r>
      <w:r>
        <w:t xml:space="preserve"> Right now your answer is "they can check the governance tab." With this feature your answer is: </w:t>
      </w:r>
      <w:r>
        <w:rPr>
          <w:rStyle w:val="Emphasis"/>
          <w:rFonts w:eastAsiaTheme="majorEastAsia"/>
        </w:rPr>
        <w:t>"The moment a trade executes, a formal compliance report is generated, logged, and transmitted. The compliance team doesn't need to query anything — the report arrives at the moment the position exists."</w:t>
      </w:r>
      <w:r>
        <w:t xml:space="preserve"> That's the difference between a system that is auditable and a system that is governable. Governable is what Wells Fargo needs.</w:t>
      </w:r>
    </w:p>
    <w:p w14:paraId="17FD5897" w14:textId="77777777" w:rsidR="0035375F" w:rsidRDefault="0035375F" w:rsidP="0035375F">
      <w:pPr>
        <w:pStyle w:val="NormalWeb"/>
      </w:pPr>
      <w:r>
        <w:lastRenderedPageBreak/>
        <w:t>The only design decision I'd push you on before building: do you want the report to be a document artifact — a PDF generated per trade, immutable, timestamped, stored — or a structured data record that renders on demand? The PDF route is more defensible in a regulatory context because it's a fixed artifact that can't be modified after the fact. It also looks significantly more institutional in a demo.</w:t>
      </w:r>
    </w:p>
    <w:p w14:paraId="5D58C524" w14:textId="5DB45A99" w:rsidR="0035375F" w:rsidRDefault="0035375F" w:rsidP="0035375F">
      <w:pPr>
        <w:pStyle w:val="NormalWeb"/>
      </w:pPr>
      <w:r>
        <w:t>How do you want to handle the delivery architecture?</w:t>
      </w:r>
    </w:p>
    <w:p w14:paraId="74C0C0B2" w14:textId="783A2B4A" w:rsidR="0035375F" w:rsidRDefault="0035375F" w:rsidP="0035375F">
      <w:pPr>
        <w:pStyle w:val="NormalWeb"/>
      </w:pPr>
      <w:r>
        <w:rPr>
          <w:rFonts w:ascii="Segoe UI" w:hAnsi="Segoe UI" w:cs="Segoe UI"/>
          <w:color w:val="141413"/>
          <w:shd w:val="clear" w:color="auto" w:fill="F0EEE6"/>
        </w:rPr>
        <w:t>In the sense of being compliant the PDF works better but there needs to structured data record aka the tape. Think like a WF Sales &amp; Trading floor managing this with data pools, selling this as a product to clients, does it have it's own OMS connecting to service provider API's, taxonomy, does it sit on top of legacy systems or is it new?</w:t>
      </w:r>
    </w:p>
    <w:p w14:paraId="255A15A7" w14:textId="77777777" w:rsidR="0035375F" w:rsidRPr="0035375F" w:rsidRDefault="0035375F" w:rsidP="0035375F">
      <w:pPr>
        <w:spacing w:before="100" w:beforeAutospacing="1" w:after="100" w:afterAutospacing="1" w:line="240" w:lineRule="auto"/>
        <w:rPr>
          <w:rFonts w:ascii="Times New Roman" w:eastAsia="Times New Roman" w:hAnsi="Times New Roman" w:cs="Times New Roman"/>
          <w:kern w:val="0"/>
          <w14:ligatures w14:val="none"/>
        </w:rPr>
      </w:pPr>
      <w:r w:rsidRPr="0035375F">
        <w:rPr>
          <w:rFonts w:ascii="Times New Roman" w:eastAsia="Times New Roman" w:hAnsi="Times New Roman" w:cs="Times New Roman"/>
          <w:kern w:val="0"/>
          <w14:ligatures w14:val="none"/>
        </w:rPr>
        <w:t>Now you're thinking like a product. Let me work through each dimension properly.</w:t>
      </w:r>
    </w:p>
    <w:p w14:paraId="0BFD663D" w14:textId="77777777" w:rsidR="0035375F" w:rsidRPr="0035375F" w:rsidRDefault="00267DE9" w:rsidP="0035375F">
      <w:pPr>
        <w:spacing w:after="0" w:line="240" w:lineRule="auto"/>
        <w:rPr>
          <w:rFonts w:ascii="Times New Roman" w:eastAsia="Times New Roman" w:hAnsi="Times New Roman" w:cs="Times New Roman"/>
          <w:kern w:val="0"/>
          <w14:ligatures w14:val="none"/>
        </w:rPr>
      </w:pPr>
      <w:r w:rsidRPr="00267DE9">
        <w:rPr>
          <w:rFonts w:ascii="Times New Roman" w:eastAsia="Times New Roman" w:hAnsi="Times New Roman" w:cs="Times New Roman"/>
          <w:noProof/>
          <w:kern w:val="0"/>
        </w:rPr>
        <w:pict w14:anchorId="6EC69F34">
          <v:rect id="_x0000_i1031" alt="" style="width:468pt;height:.05pt;mso-width-percent:0;mso-height-percent:0;mso-width-percent:0;mso-height-percent:0" o:hralign="center" o:hrstd="t" o:hr="t" fillcolor="#a0a0a0" stroked="f"/>
        </w:pict>
      </w:r>
    </w:p>
    <w:p w14:paraId="1347D8FA" w14:textId="77777777" w:rsidR="0035375F" w:rsidRPr="0035375F" w:rsidRDefault="0035375F" w:rsidP="0035375F">
      <w:pPr>
        <w:spacing w:before="100" w:beforeAutospacing="1" w:after="100" w:afterAutospacing="1" w:line="240" w:lineRule="auto"/>
        <w:rPr>
          <w:rFonts w:ascii="Times New Roman" w:eastAsia="Times New Roman" w:hAnsi="Times New Roman" w:cs="Times New Roman"/>
          <w:kern w:val="0"/>
          <w14:ligatures w14:val="none"/>
        </w:rPr>
      </w:pPr>
      <w:r w:rsidRPr="0035375F">
        <w:rPr>
          <w:rFonts w:ascii="Times New Roman" w:eastAsia="Times New Roman" w:hAnsi="Times New Roman" w:cs="Times New Roman"/>
          <w:b/>
          <w:bCs/>
          <w:kern w:val="0"/>
          <w14:ligatures w14:val="none"/>
        </w:rPr>
        <w:t>The Tape — Canonical Record First, Everything Else Downstream</w:t>
      </w:r>
    </w:p>
    <w:p w14:paraId="465BA5BE" w14:textId="77777777" w:rsidR="0035375F" w:rsidRPr="0035375F" w:rsidRDefault="0035375F" w:rsidP="0035375F">
      <w:pPr>
        <w:spacing w:before="100" w:beforeAutospacing="1" w:after="100" w:afterAutospacing="1" w:line="240" w:lineRule="auto"/>
        <w:rPr>
          <w:rFonts w:ascii="Times New Roman" w:eastAsia="Times New Roman" w:hAnsi="Times New Roman" w:cs="Times New Roman"/>
          <w:kern w:val="0"/>
          <w14:ligatures w14:val="none"/>
        </w:rPr>
      </w:pPr>
      <w:r w:rsidRPr="0035375F">
        <w:rPr>
          <w:rFonts w:ascii="Times New Roman" w:eastAsia="Times New Roman" w:hAnsi="Times New Roman" w:cs="Times New Roman"/>
          <w:kern w:val="0"/>
          <w14:ligatures w14:val="none"/>
        </w:rPr>
        <w:t>The tape is the foundational truth. Every downstream artifact — the PDF compliance report, the email, the dashboard, the risk feed — is just a rendering of the tape for a specific consumer. The tape itself is the immutable structured record written at the exact moment Kaladan confirms execution.</w:t>
      </w:r>
    </w:p>
    <w:p w14:paraId="44F24955" w14:textId="77777777" w:rsidR="0035375F" w:rsidRPr="0035375F" w:rsidRDefault="0035375F" w:rsidP="0035375F">
      <w:pPr>
        <w:spacing w:before="100" w:beforeAutospacing="1" w:after="100" w:afterAutospacing="1" w:line="240" w:lineRule="auto"/>
        <w:rPr>
          <w:rFonts w:ascii="Times New Roman" w:eastAsia="Times New Roman" w:hAnsi="Times New Roman" w:cs="Times New Roman"/>
          <w:kern w:val="0"/>
          <w14:ligatures w14:val="none"/>
        </w:rPr>
      </w:pPr>
      <w:r w:rsidRPr="0035375F">
        <w:rPr>
          <w:rFonts w:ascii="Times New Roman" w:eastAsia="Times New Roman" w:hAnsi="Times New Roman" w:cs="Times New Roman"/>
          <w:kern w:val="0"/>
          <w14:ligatures w14:val="none"/>
        </w:rPr>
        <w:t>What makes Aureon's tape different from a traditional OMS trade record is that it's governance-enriched. A standard FIX execution report gives you the trade. Aureon's tape gives you the trade plus the doctrine state that governed it — version, gate results, authority chain, lineage hash. That's a new data type the Street doesn't currently produce at this level of structure. The fields would be:</w:t>
      </w:r>
    </w:p>
    <w:p w14:paraId="1DF41D85" w14:textId="77777777" w:rsidR="0035375F" w:rsidRPr="0035375F" w:rsidRDefault="0035375F" w:rsidP="0035375F">
      <w:pPr>
        <w:spacing w:before="100" w:beforeAutospacing="1" w:after="100" w:afterAutospacing="1" w:line="240" w:lineRule="auto"/>
        <w:rPr>
          <w:rFonts w:ascii="Times New Roman" w:eastAsia="Times New Roman" w:hAnsi="Times New Roman" w:cs="Times New Roman"/>
          <w:kern w:val="0"/>
          <w14:ligatures w14:val="none"/>
        </w:rPr>
      </w:pPr>
      <w:r w:rsidRPr="0035375F">
        <w:rPr>
          <w:rFonts w:ascii="Times New Roman" w:eastAsia="Times New Roman" w:hAnsi="Times New Roman" w:cs="Times New Roman"/>
          <w:kern w:val="0"/>
          <w14:ligatures w14:val="none"/>
        </w:rPr>
        <w:t>Trade identity (symbol, ISIN/CUSIP, asset class, direction, quantity, price, notional, currency), execution metadata (timestamp UTC to microsecond, decision ID, agent designation, settlement window T+0/T+1), governance data (doctrine version, all five gate results with PASS/WARN/FAIL, Tier authority level, human authority hash, compliance framework status at execution), and risk state (drawdown pre/post, position concentration delta, VaR impact, cash pre/post). That tape record is the single source of truth. Everything else subscribes to it.</w:t>
      </w:r>
    </w:p>
    <w:p w14:paraId="391D306A" w14:textId="77777777" w:rsidR="0035375F" w:rsidRPr="0035375F" w:rsidRDefault="00267DE9" w:rsidP="0035375F">
      <w:pPr>
        <w:spacing w:after="0" w:line="240" w:lineRule="auto"/>
        <w:rPr>
          <w:rFonts w:ascii="Times New Roman" w:eastAsia="Times New Roman" w:hAnsi="Times New Roman" w:cs="Times New Roman"/>
          <w:kern w:val="0"/>
          <w14:ligatures w14:val="none"/>
        </w:rPr>
      </w:pPr>
      <w:r w:rsidRPr="00267DE9">
        <w:rPr>
          <w:rFonts w:ascii="Times New Roman" w:eastAsia="Times New Roman" w:hAnsi="Times New Roman" w:cs="Times New Roman"/>
          <w:noProof/>
          <w:kern w:val="0"/>
        </w:rPr>
        <w:pict w14:anchorId="56EFEEAB">
          <v:rect id="_x0000_i1030" alt="" style="width:468pt;height:.05pt;mso-width-percent:0;mso-height-percent:0;mso-width-percent:0;mso-height-percent:0" o:hralign="center" o:hrstd="t" o:hr="t" fillcolor="#a0a0a0" stroked="f"/>
        </w:pict>
      </w:r>
    </w:p>
    <w:p w14:paraId="2FD715B8" w14:textId="77777777" w:rsidR="0035375F" w:rsidRPr="0035375F" w:rsidRDefault="0035375F" w:rsidP="0035375F">
      <w:pPr>
        <w:spacing w:before="100" w:beforeAutospacing="1" w:after="100" w:afterAutospacing="1" w:line="240" w:lineRule="auto"/>
        <w:rPr>
          <w:rFonts w:ascii="Times New Roman" w:eastAsia="Times New Roman" w:hAnsi="Times New Roman" w:cs="Times New Roman"/>
          <w:kern w:val="0"/>
          <w14:ligatures w14:val="none"/>
        </w:rPr>
      </w:pPr>
      <w:r w:rsidRPr="0035375F">
        <w:rPr>
          <w:rFonts w:ascii="Times New Roman" w:eastAsia="Times New Roman" w:hAnsi="Times New Roman" w:cs="Times New Roman"/>
          <w:b/>
          <w:bCs/>
          <w:kern w:val="0"/>
          <w14:ligatures w14:val="none"/>
        </w:rPr>
        <w:t>OMS — Overlay, Not Replacement</w:t>
      </w:r>
    </w:p>
    <w:p w14:paraId="69690B0F" w14:textId="77777777" w:rsidR="0035375F" w:rsidRPr="0035375F" w:rsidRDefault="0035375F" w:rsidP="0035375F">
      <w:pPr>
        <w:spacing w:before="100" w:beforeAutospacing="1" w:after="100" w:afterAutospacing="1" w:line="240" w:lineRule="auto"/>
        <w:rPr>
          <w:rFonts w:ascii="Times New Roman" w:eastAsia="Times New Roman" w:hAnsi="Times New Roman" w:cs="Times New Roman"/>
          <w:kern w:val="0"/>
          <w14:ligatures w14:val="none"/>
        </w:rPr>
      </w:pPr>
      <w:r w:rsidRPr="0035375F">
        <w:rPr>
          <w:rFonts w:ascii="Times New Roman" w:eastAsia="Times New Roman" w:hAnsi="Times New Roman" w:cs="Times New Roman"/>
          <w:kern w:val="0"/>
          <w14:ligatures w14:val="none"/>
        </w:rPr>
        <w:t>For a WF Sales &amp; Trading floor context, Aureon is not an OMS. It's an intelligence and governance layer that sits above the existing OMS stack. No GSIB is ripping out Flextrade or Bloomberg AIM. The commercial value proposition is that Aureon wraps what's already there.</w:t>
      </w:r>
    </w:p>
    <w:p w14:paraId="7DDA28C5" w14:textId="77777777" w:rsidR="0035375F" w:rsidRPr="0035375F" w:rsidRDefault="0035375F" w:rsidP="0035375F">
      <w:pPr>
        <w:spacing w:before="100" w:beforeAutospacing="1" w:after="100" w:afterAutospacing="1" w:line="240" w:lineRule="auto"/>
        <w:rPr>
          <w:rFonts w:ascii="Times New Roman" w:eastAsia="Times New Roman" w:hAnsi="Times New Roman" w:cs="Times New Roman"/>
          <w:kern w:val="0"/>
          <w14:ligatures w14:val="none"/>
        </w:rPr>
      </w:pPr>
      <w:r w:rsidRPr="0035375F">
        <w:rPr>
          <w:rFonts w:ascii="Times New Roman" w:eastAsia="Times New Roman" w:hAnsi="Times New Roman" w:cs="Times New Roman"/>
          <w:kern w:val="0"/>
          <w14:ligatures w14:val="none"/>
        </w:rPr>
        <w:t>The architecture: existing OMS generates the order → Aureon intercepts at the pre-trade gate layer → doctrine stack runs L0 through L3 checks → if all gates clear and human approval is received, Aureon releases the order back to the OMS for execution → Kaladan receives the execution confirmation and writes the tape. Aureon never replaces the OMS — it governs it. That's actually a stronger product because the sales story is additive, not disruptive. You're not asking a desk to change how they execute. You're asking them to put a compliance and governance intelligence layer in front of what they already do.</w:t>
      </w:r>
    </w:p>
    <w:p w14:paraId="355B041B" w14:textId="77777777" w:rsidR="0035375F" w:rsidRPr="0035375F" w:rsidRDefault="0035375F" w:rsidP="0035375F">
      <w:pPr>
        <w:spacing w:before="100" w:beforeAutospacing="1" w:after="100" w:afterAutospacing="1" w:line="240" w:lineRule="auto"/>
        <w:rPr>
          <w:rFonts w:ascii="Times New Roman" w:eastAsia="Times New Roman" w:hAnsi="Times New Roman" w:cs="Times New Roman"/>
          <w:kern w:val="0"/>
          <w14:ligatures w14:val="none"/>
        </w:rPr>
      </w:pPr>
      <w:r w:rsidRPr="0035375F">
        <w:rPr>
          <w:rFonts w:ascii="Times New Roman" w:eastAsia="Times New Roman" w:hAnsi="Times New Roman" w:cs="Times New Roman"/>
          <w:kern w:val="0"/>
          <w14:ligatures w14:val="none"/>
        </w:rPr>
        <w:lastRenderedPageBreak/>
        <w:t>The connectivity is a FIX adapter. Aureon currently speaks JSON over REST. For the Street you need a FIX gateway — a translation layer that converts Aureon's JSON doctrine decisions into FIX messages the OMS understands. That's a solvable engineering problem and a well-defined integration pattern.</w:t>
      </w:r>
    </w:p>
    <w:p w14:paraId="7FB94111" w14:textId="77777777" w:rsidR="0035375F" w:rsidRPr="0035375F" w:rsidRDefault="00267DE9" w:rsidP="0035375F">
      <w:pPr>
        <w:spacing w:after="0" w:line="240" w:lineRule="auto"/>
        <w:rPr>
          <w:rFonts w:ascii="Times New Roman" w:eastAsia="Times New Roman" w:hAnsi="Times New Roman" w:cs="Times New Roman"/>
          <w:kern w:val="0"/>
          <w14:ligatures w14:val="none"/>
        </w:rPr>
      </w:pPr>
      <w:r w:rsidRPr="00267DE9">
        <w:rPr>
          <w:rFonts w:ascii="Times New Roman" w:eastAsia="Times New Roman" w:hAnsi="Times New Roman" w:cs="Times New Roman"/>
          <w:noProof/>
          <w:kern w:val="0"/>
        </w:rPr>
        <w:pict w14:anchorId="768B86D8">
          <v:rect id="_x0000_i1029" alt="" style="width:468pt;height:.05pt;mso-width-percent:0;mso-height-percent:0;mso-width-percent:0;mso-height-percent:0" o:hralign="center" o:hrstd="t" o:hr="t" fillcolor="#a0a0a0" stroked="f"/>
        </w:pict>
      </w:r>
    </w:p>
    <w:p w14:paraId="01023166" w14:textId="77777777" w:rsidR="0035375F" w:rsidRPr="0035375F" w:rsidRDefault="0035375F" w:rsidP="0035375F">
      <w:pPr>
        <w:spacing w:before="100" w:beforeAutospacing="1" w:after="100" w:afterAutospacing="1" w:line="240" w:lineRule="auto"/>
        <w:rPr>
          <w:rFonts w:ascii="Times New Roman" w:eastAsia="Times New Roman" w:hAnsi="Times New Roman" w:cs="Times New Roman"/>
          <w:kern w:val="0"/>
          <w14:ligatures w14:val="none"/>
        </w:rPr>
      </w:pPr>
      <w:r w:rsidRPr="0035375F">
        <w:rPr>
          <w:rFonts w:ascii="Times New Roman" w:eastAsia="Times New Roman" w:hAnsi="Times New Roman" w:cs="Times New Roman"/>
          <w:b/>
          <w:bCs/>
          <w:kern w:val="0"/>
          <w14:ligatures w14:val="none"/>
        </w:rPr>
        <w:t>Service Provider APIs — Verana L0 Owns the Network</w:t>
      </w:r>
    </w:p>
    <w:p w14:paraId="4C2DD239" w14:textId="77777777" w:rsidR="0035375F" w:rsidRPr="0035375F" w:rsidRDefault="0035375F" w:rsidP="0035375F">
      <w:pPr>
        <w:spacing w:before="100" w:beforeAutospacing="1" w:after="100" w:afterAutospacing="1" w:line="240" w:lineRule="auto"/>
        <w:rPr>
          <w:rFonts w:ascii="Times New Roman" w:eastAsia="Times New Roman" w:hAnsi="Times New Roman" w:cs="Times New Roman"/>
          <w:kern w:val="0"/>
          <w14:ligatures w14:val="none"/>
        </w:rPr>
      </w:pPr>
      <w:r w:rsidRPr="0035375F">
        <w:rPr>
          <w:rFonts w:ascii="Times New Roman" w:eastAsia="Times New Roman" w:hAnsi="Times New Roman" w:cs="Times New Roman"/>
          <w:kern w:val="0"/>
          <w14:ligatures w14:val="none"/>
        </w:rPr>
        <w:t>Verana is already defined as the network governance and adaptive control plane. In a commercial deployment that's the connectivity layer. The API surface it needs to manage:</w:t>
      </w:r>
    </w:p>
    <w:p w14:paraId="14E6A915" w14:textId="77777777" w:rsidR="0035375F" w:rsidRPr="0035375F" w:rsidRDefault="0035375F" w:rsidP="0035375F">
      <w:pPr>
        <w:spacing w:before="100" w:beforeAutospacing="1" w:after="100" w:afterAutospacing="1" w:line="240" w:lineRule="auto"/>
        <w:rPr>
          <w:rFonts w:ascii="Times New Roman" w:eastAsia="Times New Roman" w:hAnsi="Times New Roman" w:cs="Times New Roman"/>
          <w:kern w:val="0"/>
          <w14:ligatures w14:val="none"/>
        </w:rPr>
      </w:pPr>
      <w:r w:rsidRPr="0035375F">
        <w:rPr>
          <w:rFonts w:ascii="Times New Roman" w:eastAsia="Times New Roman" w:hAnsi="Times New Roman" w:cs="Times New Roman"/>
          <w:kern w:val="0"/>
          <w14:ligatures w14:val="none"/>
        </w:rPr>
        <w:t>Execution: FIX gateway to prime brokers, ECNs (IEX, BATS, dark pools). Clearing: DTCC for US equities, LCH for FX and derivatives, CME Clearing for futures. Settlement: SWIFT MT540/543 for securities settlement instructions, ISO 20022 for modern connectivity — and Euroclear, Clearstream, Indeval (which you already know from the BofA LATAM work — that's not academic, that's operational experience). Market data: Bloomberg or Refinitiv for real-time pricing. Regulatory reporting: FINRA TRACE for bond transactions, DTCC GTR for derivatives, ESMA transaction reporting for MiFID II. Each of these is a registered node in Verana's network registry — which already exists in the system, currently showing 15 operational nodes. In production that registry scales to hundreds.</w:t>
      </w:r>
    </w:p>
    <w:p w14:paraId="6FF1376F" w14:textId="77777777" w:rsidR="0035375F" w:rsidRPr="0035375F" w:rsidRDefault="00267DE9" w:rsidP="0035375F">
      <w:pPr>
        <w:spacing w:after="0" w:line="240" w:lineRule="auto"/>
        <w:rPr>
          <w:rFonts w:ascii="Times New Roman" w:eastAsia="Times New Roman" w:hAnsi="Times New Roman" w:cs="Times New Roman"/>
          <w:kern w:val="0"/>
          <w14:ligatures w14:val="none"/>
        </w:rPr>
      </w:pPr>
      <w:r w:rsidRPr="00267DE9">
        <w:rPr>
          <w:rFonts w:ascii="Times New Roman" w:eastAsia="Times New Roman" w:hAnsi="Times New Roman" w:cs="Times New Roman"/>
          <w:noProof/>
          <w:kern w:val="0"/>
        </w:rPr>
        <w:pict w14:anchorId="5FB67BB5">
          <v:rect id="_x0000_i1028" alt="" style="width:468pt;height:.05pt;mso-width-percent:0;mso-height-percent:0;mso-width-percent:0;mso-height-percent:0" o:hralign="center" o:hrstd="t" o:hr="t" fillcolor="#a0a0a0" stroked="f"/>
        </w:pict>
      </w:r>
    </w:p>
    <w:p w14:paraId="13E88EFE" w14:textId="77777777" w:rsidR="0035375F" w:rsidRPr="0035375F" w:rsidRDefault="0035375F" w:rsidP="0035375F">
      <w:pPr>
        <w:spacing w:before="100" w:beforeAutospacing="1" w:after="100" w:afterAutospacing="1" w:line="240" w:lineRule="auto"/>
        <w:rPr>
          <w:rFonts w:ascii="Times New Roman" w:eastAsia="Times New Roman" w:hAnsi="Times New Roman" w:cs="Times New Roman"/>
          <w:kern w:val="0"/>
          <w14:ligatures w14:val="none"/>
        </w:rPr>
      </w:pPr>
      <w:r w:rsidRPr="0035375F">
        <w:rPr>
          <w:rFonts w:ascii="Times New Roman" w:eastAsia="Times New Roman" w:hAnsi="Times New Roman" w:cs="Times New Roman"/>
          <w:b/>
          <w:bCs/>
          <w:kern w:val="0"/>
          <w14:ligatures w14:val="none"/>
        </w:rPr>
        <w:t>Taxonomy — Mentat Owns Classification</w:t>
      </w:r>
    </w:p>
    <w:p w14:paraId="5BC26EE1" w14:textId="77777777" w:rsidR="0035375F" w:rsidRPr="0035375F" w:rsidRDefault="0035375F" w:rsidP="0035375F">
      <w:pPr>
        <w:spacing w:before="100" w:beforeAutospacing="1" w:after="100" w:afterAutospacing="1" w:line="240" w:lineRule="auto"/>
        <w:rPr>
          <w:rFonts w:ascii="Times New Roman" w:eastAsia="Times New Roman" w:hAnsi="Times New Roman" w:cs="Times New Roman"/>
          <w:kern w:val="0"/>
          <w14:ligatures w14:val="none"/>
        </w:rPr>
      </w:pPr>
      <w:r w:rsidRPr="0035375F">
        <w:rPr>
          <w:rFonts w:ascii="Times New Roman" w:eastAsia="Times New Roman" w:hAnsi="Times New Roman" w:cs="Times New Roman"/>
          <w:kern w:val="0"/>
          <w14:ligatures w14:val="none"/>
        </w:rPr>
        <w:t>The 80/20 doctrine principle Mentat already operates on is exactly the right framing for taxonomy. 80% of instrument classification is universal — you use ISIN as primary identifier, CUSIP for US, SEDOL for UK, FIX asset class codes for the protocol layer, ISDA product taxonomy for derivatives. Mentat governs those universally. The remaining 20% are jurisdiction-specific — a crypto asset has different regulatory taxonomy in the US versus the EU versus Singapore. Those sit in modular doctrine inserts that Mentat manages without fragmenting the core classification framework. That's not a new concept — it's already in the Framework page of the system. You just need to formalize it as the instrument taxonomy layer.</w:t>
      </w:r>
    </w:p>
    <w:p w14:paraId="4D2487F4" w14:textId="77777777" w:rsidR="0035375F" w:rsidRPr="0035375F" w:rsidRDefault="00267DE9" w:rsidP="0035375F">
      <w:pPr>
        <w:spacing w:after="0" w:line="240" w:lineRule="auto"/>
        <w:rPr>
          <w:rFonts w:ascii="Times New Roman" w:eastAsia="Times New Roman" w:hAnsi="Times New Roman" w:cs="Times New Roman"/>
          <w:kern w:val="0"/>
          <w14:ligatures w14:val="none"/>
        </w:rPr>
      </w:pPr>
      <w:r w:rsidRPr="00267DE9">
        <w:rPr>
          <w:rFonts w:ascii="Times New Roman" w:eastAsia="Times New Roman" w:hAnsi="Times New Roman" w:cs="Times New Roman"/>
          <w:noProof/>
          <w:kern w:val="0"/>
        </w:rPr>
        <w:pict w14:anchorId="70AACE99">
          <v:rect id="_x0000_i1027" alt="" style="width:468pt;height:.05pt;mso-width-percent:0;mso-height-percent:0;mso-width-percent:0;mso-height-percent:0" o:hralign="center" o:hrstd="t" o:hr="t" fillcolor="#a0a0a0" stroked="f"/>
        </w:pict>
      </w:r>
    </w:p>
    <w:p w14:paraId="0D8069CB" w14:textId="77777777" w:rsidR="0035375F" w:rsidRPr="0035375F" w:rsidRDefault="0035375F" w:rsidP="0035375F">
      <w:pPr>
        <w:spacing w:before="100" w:beforeAutospacing="1" w:after="100" w:afterAutospacing="1" w:line="240" w:lineRule="auto"/>
        <w:rPr>
          <w:rFonts w:ascii="Times New Roman" w:eastAsia="Times New Roman" w:hAnsi="Times New Roman" w:cs="Times New Roman"/>
          <w:kern w:val="0"/>
          <w14:ligatures w14:val="none"/>
        </w:rPr>
      </w:pPr>
      <w:r w:rsidRPr="0035375F">
        <w:rPr>
          <w:rFonts w:ascii="Times New Roman" w:eastAsia="Times New Roman" w:hAnsi="Times New Roman" w:cs="Times New Roman"/>
          <w:b/>
          <w:bCs/>
          <w:kern w:val="0"/>
          <w14:ligatures w14:val="none"/>
        </w:rPr>
        <w:t>Legacy vs. New — The Architecture Decision</w:t>
      </w:r>
    </w:p>
    <w:p w14:paraId="12675589" w14:textId="77777777" w:rsidR="0035375F" w:rsidRPr="0035375F" w:rsidRDefault="0035375F" w:rsidP="0035375F">
      <w:pPr>
        <w:spacing w:before="100" w:beforeAutospacing="1" w:after="100" w:afterAutospacing="1" w:line="240" w:lineRule="auto"/>
        <w:rPr>
          <w:rFonts w:ascii="Times New Roman" w:eastAsia="Times New Roman" w:hAnsi="Times New Roman" w:cs="Times New Roman"/>
          <w:kern w:val="0"/>
          <w14:ligatures w14:val="none"/>
        </w:rPr>
      </w:pPr>
      <w:r w:rsidRPr="0035375F">
        <w:rPr>
          <w:rFonts w:ascii="Times New Roman" w:eastAsia="Times New Roman" w:hAnsi="Times New Roman" w:cs="Times New Roman"/>
          <w:kern w:val="0"/>
          <w14:ligatures w14:val="none"/>
        </w:rPr>
        <w:t>For WF or any GSIB client, Aureon sits on top. That's not a limitation — that's the go-to-market. GSIBs have decades of legacy infrastructure. Core banking systems from the 80s. Settlement rails that predate the internet. No enterprise technology sale has ever succeeded by requiring a firm to replace all of that. Aureon's positioning is: keep your existing stack, we govern the intelligence layer above it.</w:t>
      </w:r>
    </w:p>
    <w:p w14:paraId="21491282" w14:textId="77777777" w:rsidR="0035375F" w:rsidRPr="0035375F" w:rsidRDefault="0035375F" w:rsidP="0035375F">
      <w:pPr>
        <w:spacing w:before="100" w:beforeAutospacing="1" w:after="100" w:afterAutospacing="1" w:line="240" w:lineRule="auto"/>
        <w:rPr>
          <w:rFonts w:ascii="Times New Roman" w:eastAsia="Times New Roman" w:hAnsi="Times New Roman" w:cs="Times New Roman"/>
          <w:kern w:val="0"/>
          <w14:ligatures w14:val="none"/>
        </w:rPr>
      </w:pPr>
      <w:r w:rsidRPr="0035375F">
        <w:rPr>
          <w:rFonts w:ascii="Times New Roman" w:eastAsia="Times New Roman" w:hAnsi="Times New Roman" w:cs="Times New Roman"/>
          <w:kern w:val="0"/>
          <w14:ligatures w14:val="none"/>
        </w:rPr>
        <w:t>For greenfield clients — a new hedge fund, a new digital asset desk, a new CIB product build — Aureon can be the full stack. New entrants don't have legacy constraints. That becomes the Tier 2 product.</w:t>
      </w:r>
    </w:p>
    <w:p w14:paraId="0B57BF60" w14:textId="77777777" w:rsidR="0035375F" w:rsidRPr="0035375F" w:rsidRDefault="00267DE9" w:rsidP="0035375F">
      <w:pPr>
        <w:spacing w:after="0" w:line="240" w:lineRule="auto"/>
        <w:rPr>
          <w:rFonts w:ascii="Times New Roman" w:eastAsia="Times New Roman" w:hAnsi="Times New Roman" w:cs="Times New Roman"/>
          <w:kern w:val="0"/>
          <w14:ligatures w14:val="none"/>
        </w:rPr>
      </w:pPr>
      <w:r w:rsidRPr="00267DE9">
        <w:rPr>
          <w:rFonts w:ascii="Times New Roman" w:eastAsia="Times New Roman" w:hAnsi="Times New Roman" w:cs="Times New Roman"/>
          <w:noProof/>
          <w:kern w:val="0"/>
        </w:rPr>
        <w:pict w14:anchorId="412153F5">
          <v:rect id="_x0000_i1026" alt="" style="width:468pt;height:.05pt;mso-width-percent:0;mso-height-percent:0;mso-width-percent:0;mso-height-percent:0" o:hralign="center" o:hrstd="t" o:hr="t" fillcolor="#a0a0a0" stroked="f"/>
        </w:pict>
      </w:r>
    </w:p>
    <w:p w14:paraId="4055778E" w14:textId="77777777" w:rsidR="0035375F" w:rsidRPr="0035375F" w:rsidRDefault="0035375F" w:rsidP="0035375F">
      <w:pPr>
        <w:spacing w:before="100" w:beforeAutospacing="1" w:after="100" w:afterAutospacing="1" w:line="240" w:lineRule="auto"/>
        <w:rPr>
          <w:rFonts w:ascii="Times New Roman" w:eastAsia="Times New Roman" w:hAnsi="Times New Roman" w:cs="Times New Roman"/>
          <w:kern w:val="0"/>
          <w14:ligatures w14:val="none"/>
        </w:rPr>
      </w:pPr>
      <w:r w:rsidRPr="0035375F">
        <w:rPr>
          <w:rFonts w:ascii="Times New Roman" w:eastAsia="Times New Roman" w:hAnsi="Times New Roman" w:cs="Times New Roman"/>
          <w:b/>
          <w:bCs/>
          <w:kern w:val="0"/>
          <w14:ligatures w14:val="none"/>
        </w:rPr>
        <w:t>The Commercial Product Architecture — Three Tiers</w:t>
      </w:r>
    </w:p>
    <w:p w14:paraId="29D84679" w14:textId="77777777" w:rsidR="0035375F" w:rsidRPr="0035375F" w:rsidRDefault="0035375F" w:rsidP="0035375F">
      <w:pPr>
        <w:spacing w:before="100" w:beforeAutospacing="1" w:after="100" w:afterAutospacing="1" w:line="240" w:lineRule="auto"/>
        <w:rPr>
          <w:rFonts w:ascii="Times New Roman" w:eastAsia="Times New Roman" w:hAnsi="Times New Roman" w:cs="Times New Roman"/>
          <w:kern w:val="0"/>
          <w14:ligatures w14:val="none"/>
        </w:rPr>
      </w:pPr>
      <w:r w:rsidRPr="0035375F">
        <w:rPr>
          <w:rFonts w:ascii="Times New Roman" w:eastAsia="Times New Roman" w:hAnsi="Times New Roman" w:cs="Times New Roman"/>
          <w:b/>
          <w:bCs/>
          <w:kern w:val="0"/>
          <w14:ligatures w14:val="none"/>
        </w:rPr>
        <w:t>Tier 1 — Governance Overlay</w:t>
      </w:r>
      <w:r w:rsidRPr="0035375F">
        <w:rPr>
          <w:rFonts w:ascii="Times New Roman" w:eastAsia="Times New Roman" w:hAnsi="Times New Roman" w:cs="Times New Roman"/>
          <w:kern w:val="0"/>
          <w14:ligatures w14:val="none"/>
        </w:rPr>
        <w:t>: Doctrine stack as a service. Client keeps everything. Aureon adds L0–L3 governance above existing OMS. Priced per AUM or per desk. Fastest time to value, lowest integration cost. This is the WF internal product.</w:t>
      </w:r>
    </w:p>
    <w:p w14:paraId="69145929" w14:textId="77777777" w:rsidR="0035375F" w:rsidRPr="0035375F" w:rsidRDefault="0035375F" w:rsidP="0035375F">
      <w:pPr>
        <w:spacing w:before="100" w:beforeAutospacing="1" w:after="100" w:afterAutospacing="1" w:line="240" w:lineRule="auto"/>
        <w:rPr>
          <w:rFonts w:ascii="Times New Roman" w:eastAsia="Times New Roman" w:hAnsi="Times New Roman" w:cs="Times New Roman"/>
          <w:kern w:val="0"/>
          <w14:ligatures w14:val="none"/>
        </w:rPr>
      </w:pPr>
      <w:r w:rsidRPr="0035375F">
        <w:rPr>
          <w:rFonts w:ascii="Times New Roman" w:eastAsia="Times New Roman" w:hAnsi="Times New Roman" w:cs="Times New Roman"/>
          <w:b/>
          <w:bCs/>
          <w:kern w:val="0"/>
          <w14:ligatures w14:val="none"/>
        </w:rPr>
        <w:lastRenderedPageBreak/>
        <w:t>Tier 2 — Full Stack</w:t>
      </w:r>
      <w:r w:rsidRPr="0035375F">
        <w:rPr>
          <w:rFonts w:ascii="Times New Roman" w:eastAsia="Times New Roman" w:hAnsi="Times New Roman" w:cs="Times New Roman"/>
          <w:kern w:val="0"/>
          <w14:ligatures w14:val="none"/>
        </w:rPr>
        <w:t>: Complete Aureon architecture for greenfield desks or new funds. Replaces OMS for clients who don't have legacy constraints. Higher implementation cost, higher margin.</w:t>
      </w:r>
    </w:p>
    <w:p w14:paraId="4CAD657E" w14:textId="77777777" w:rsidR="0035375F" w:rsidRPr="0035375F" w:rsidRDefault="0035375F" w:rsidP="0035375F">
      <w:pPr>
        <w:spacing w:before="100" w:beforeAutospacing="1" w:after="100" w:afterAutospacing="1" w:line="240" w:lineRule="auto"/>
        <w:rPr>
          <w:rFonts w:ascii="Times New Roman" w:eastAsia="Times New Roman" w:hAnsi="Times New Roman" w:cs="Times New Roman"/>
          <w:kern w:val="0"/>
          <w14:ligatures w14:val="none"/>
        </w:rPr>
      </w:pPr>
      <w:r w:rsidRPr="0035375F">
        <w:rPr>
          <w:rFonts w:ascii="Times New Roman" w:eastAsia="Times New Roman" w:hAnsi="Times New Roman" w:cs="Times New Roman"/>
          <w:b/>
          <w:bCs/>
          <w:kern w:val="0"/>
          <w14:ligatures w14:val="none"/>
        </w:rPr>
        <w:t>Tier 3 — Compliance Intelligence as a Service</w:t>
      </w:r>
      <w:r w:rsidRPr="0035375F">
        <w:rPr>
          <w:rFonts w:ascii="Times New Roman" w:eastAsia="Times New Roman" w:hAnsi="Times New Roman" w:cs="Times New Roman"/>
          <w:kern w:val="0"/>
          <w14:ligatures w14:val="none"/>
        </w:rPr>
        <w:t>: Just Mentat L1 and Verana L0 sold to firms who need better compliance doctrine management without touching execution infrastructure. Fastest sales cycle because it touches the smallest footprint.</w:t>
      </w:r>
    </w:p>
    <w:p w14:paraId="331B6652" w14:textId="77777777" w:rsidR="0035375F" w:rsidRPr="0035375F" w:rsidRDefault="00267DE9" w:rsidP="0035375F">
      <w:pPr>
        <w:spacing w:after="0" w:line="240" w:lineRule="auto"/>
        <w:rPr>
          <w:rFonts w:ascii="Times New Roman" w:eastAsia="Times New Roman" w:hAnsi="Times New Roman" w:cs="Times New Roman"/>
          <w:kern w:val="0"/>
          <w14:ligatures w14:val="none"/>
        </w:rPr>
      </w:pPr>
      <w:r w:rsidRPr="00267DE9">
        <w:rPr>
          <w:rFonts w:ascii="Times New Roman" w:eastAsia="Times New Roman" w:hAnsi="Times New Roman" w:cs="Times New Roman"/>
          <w:noProof/>
          <w:kern w:val="0"/>
        </w:rPr>
        <w:pict w14:anchorId="38BCF658">
          <v:rect id="_x0000_i1025" alt="" style="width:468pt;height:.05pt;mso-width-percent:0;mso-height-percent:0;mso-width-percent:0;mso-height-percent:0" o:hralign="center" o:hrstd="t" o:hr="t" fillcolor="#a0a0a0" stroked="f"/>
        </w:pict>
      </w:r>
    </w:p>
    <w:p w14:paraId="3D311F92" w14:textId="77777777" w:rsidR="0035375F" w:rsidRPr="0035375F" w:rsidRDefault="0035375F" w:rsidP="0035375F">
      <w:pPr>
        <w:spacing w:before="100" w:beforeAutospacing="1" w:after="100" w:afterAutospacing="1" w:line="240" w:lineRule="auto"/>
        <w:rPr>
          <w:rFonts w:ascii="Times New Roman" w:eastAsia="Times New Roman" w:hAnsi="Times New Roman" w:cs="Times New Roman"/>
          <w:kern w:val="0"/>
          <w14:ligatures w14:val="none"/>
        </w:rPr>
      </w:pPr>
      <w:r w:rsidRPr="0035375F">
        <w:rPr>
          <w:rFonts w:ascii="Times New Roman" w:eastAsia="Times New Roman" w:hAnsi="Times New Roman" w:cs="Times New Roman"/>
          <w:b/>
          <w:bCs/>
          <w:kern w:val="0"/>
          <w14:ligatures w14:val="none"/>
        </w:rPr>
        <w:t>What This Means for the Interview</w:t>
      </w:r>
    </w:p>
    <w:p w14:paraId="2094FE54" w14:textId="77777777" w:rsidR="0035375F" w:rsidRPr="0035375F" w:rsidRDefault="0035375F" w:rsidP="0035375F">
      <w:pPr>
        <w:spacing w:before="100" w:beforeAutospacing="1" w:after="100" w:afterAutospacing="1" w:line="240" w:lineRule="auto"/>
        <w:rPr>
          <w:rFonts w:ascii="Times New Roman" w:eastAsia="Times New Roman" w:hAnsi="Times New Roman" w:cs="Times New Roman"/>
          <w:kern w:val="0"/>
          <w14:ligatures w14:val="none"/>
        </w:rPr>
      </w:pPr>
      <w:r w:rsidRPr="0035375F">
        <w:rPr>
          <w:rFonts w:ascii="Times New Roman" w:eastAsia="Times New Roman" w:hAnsi="Times New Roman" w:cs="Times New Roman"/>
          <w:kern w:val="0"/>
          <w14:ligatures w14:val="none"/>
        </w:rPr>
        <w:t xml:space="preserve">The moment a WF Markets Innovation interviewer asks </w:t>
      </w:r>
      <w:r w:rsidRPr="0035375F">
        <w:rPr>
          <w:rFonts w:ascii="Times New Roman" w:eastAsia="Times New Roman" w:hAnsi="Times New Roman" w:cs="Times New Roman"/>
          <w:i/>
          <w:iCs/>
          <w:kern w:val="0"/>
          <w14:ligatures w14:val="none"/>
        </w:rPr>
        <w:t>"how does this scale to an institutional deployment?"</w:t>
      </w:r>
      <w:r w:rsidRPr="0035375F">
        <w:rPr>
          <w:rFonts w:ascii="Times New Roman" w:eastAsia="Times New Roman" w:hAnsi="Times New Roman" w:cs="Times New Roman"/>
          <w:kern w:val="0"/>
          <w14:ligatures w14:val="none"/>
        </w:rPr>
        <w:t xml:space="preserve"> you now have a four-part answer: the tape as canonical governance-enriched data record, a FIX adapter overlay architecture that doesn't disrupt existing OMS, Verana as the service provider connectivity layer, and a three-tier commercial model that maps to WF's internal needs at Tier 1. That answer doesn't come from a course. It comes from someone who built the system and thought through what it would take to institutionalize it. That's the conversation they want to have.</w:t>
      </w:r>
    </w:p>
    <w:p w14:paraId="0EEDB1A3" w14:textId="77777777" w:rsidR="0035375F" w:rsidRPr="0035375F" w:rsidRDefault="0035375F" w:rsidP="0035375F">
      <w:pPr>
        <w:spacing w:before="100" w:beforeAutospacing="1" w:after="100" w:afterAutospacing="1" w:line="240" w:lineRule="auto"/>
        <w:rPr>
          <w:rFonts w:ascii="Times New Roman" w:eastAsia="Times New Roman" w:hAnsi="Times New Roman" w:cs="Times New Roman"/>
          <w:kern w:val="0"/>
          <w14:ligatures w14:val="none"/>
        </w:rPr>
      </w:pPr>
      <w:r w:rsidRPr="0035375F">
        <w:rPr>
          <w:rFonts w:ascii="Times New Roman" w:eastAsia="Times New Roman" w:hAnsi="Times New Roman" w:cs="Times New Roman"/>
          <w:kern w:val="0"/>
          <w14:ligatures w14:val="none"/>
        </w:rPr>
        <w:t>What's the next layer you want to think through — the FIX adapter design, the tape data model in more detail, or how you'd pitch the Tier 1 product internally to a WF desk?</w:t>
      </w:r>
    </w:p>
    <w:p w14:paraId="6E877608" w14:textId="77777777" w:rsidR="005D62B1" w:rsidRDefault="005D62B1"/>
    <w:sectPr w:rsidR="005D62B1" w:rsidSect="00E84F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75F"/>
    <w:rsid w:val="001C4EE4"/>
    <w:rsid w:val="00267DE9"/>
    <w:rsid w:val="002E632E"/>
    <w:rsid w:val="0035375F"/>
    <w:rsid w:val="005D62B1"/>
    <w:rsid w:val="0069524A"/>
    <w:rsid w:val="007B0B03"/>
    <w:rsid w:val="008557D6"/>
    <w:rsid w:val="00944F01"/>
    <w:rsid w:val="00970E79"/>
    <w:rsid w:val="00E84F1E"/>
    <w:rsid w:val="00FA6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DE30A"/>
  <w15:chartTrackingRefBased/>
  <w15:docId w15:val="{39ED4AC0-2BA0-2142-AF0D-ABB6E94B4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7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7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7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7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7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75F"/>
    <w:rPr>
      <w:rFonts w:eastAsiaTheme="majorEastAsia" w:cstheme="majorBidi"/>
      <w:color w:val="272727" w:themeColor="text1" w:themeTint="D8"/>
    </w:rPr>
  </w:style>
  <w:style w:type="paragraph" w:styleId="Title">
    <w:name w:val="Title"/>
    <w:basedOn w:val="Normal"/>
    <w:next w:val="Normal"/>
    <w:link w:val="TitleChar"/>
    <w:uiPriority w:val="10"/>
    <w:qFormat/>
    <w:rsid w:val="00353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7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75F"/>
    <w:pPr>
      <w:spacing w:before="160"/>
      <w:jc w:val="center"/>
    </w:pPr>
    <w:rPr>
      <w:i/>
      <w:iCs/>
      <w:color w:val="404040" w:themeColor="text1" w:themeTint="BF"/>
    </w:rPr>
  </w:style>
  <w:style w:type="character" w:customStyle="1" w:styleId="QuoteChar">
    <w:name w:val="Quote Char"/>
    <w:basedOn w:val="DefaultParagraphFont"/>
    <w:link w:val="Quote"/>
    <w:uiPriority w:val="29"/>
    <w:rsid w:val="0035375F"/>
    <w:rPr>
      <w:i/>
      <w:iCs/>
      <w:color w:val="404040" w:themeColor="text1" w:themeTint="BF"/>
    </w:rPr>
  </w:style>
  <w:style w:type="paragraph" w:styleId="ListParagraph">
    <w:name w:val="List Paragraph"/>
    <w:basedOn w:val="Normal"/>
    <w:uiPriority w:val="34"/>
    <w:qFormat/>
    <w:rsid w:val="0035375F"/>
    <w:pPr>
      <w:ind w:left="720"/>
      <w:contextualSpacing/>
    </w:pPr>
  </w:style>
  <w:style w:type="character" w:styleId="IntenseEmphasis">
    <w:name w:val="Intense Emphasis"/>
    <w:basedOn w:val="DefaultParagraphFont"/>
    <w:uiPriority w:val="21"/>
    <w:qFormat/>
    <w:rsid w:val="0035375F"/>
    <w:rPr>
      <w:i/>
      <w:iCs/>
      <w:color w:val="0F4761" w:themeColor="accent1" w:themeShade="BF"/>
    </w:rPr>
  </w:style>
  <w:style w:type="paragraph" w:styleId="IntenseQuote">
    <w:name w:val="Intense Quote"/>
    <w:basedOn w:val="Normal"/>
    <w:next w:val="Normal"/>
    <w:link w:val="IntenseQuoteChar"/>
    <w:uiPriority w:val="30"/>
    <w:qFormat/>
    <w:rsid w:val="00353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75F"/>
    <w:rPr>
      <w:i/>
      <w:iCs/>
      <w:color w:val="0F4761" w:themeColor="accent1" w:themeShade="BF"/>
    </w:rPr>
  </w:style>
  <w:style w:type="character" w:styleId="IntenseReference">
    <w:name w:val="Intense Reference"/>
    <w:basedOn w:val="DefaultParagraphFont"/>
    <w:uiPriority w:val="32"/>
    <w:qFormat/>
    <w:rsid w:val="0035375F"/>
    <w:rPr>
      <w:b/>
      <w:bCs/>
      <w:smallCaps/>
      <w:color w:val="0F4761" w:themeColor="accent1" w:themeShade="BF"/>
      <w:spacing w:val="5"/>
    </w:rPr>
  </w:style>
  <w:style w:type="paragraph" w:styleId="NormalWeb">
    <w:name w:val="Normal (Web)"/>
    <w:basedOn w:val="Normal"/>
    <w:uiPriority w:val="99"/>
    <w:semiHidden/>
    <w:unhideWhenUsed/>
    <w:rsid w:val="003537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5375F"/>
    <w:rPr>
      <w:b/>
      <w:bCs/>
    </w:rPr>
  </w:style>
  <w:style w:type="character" w:styleId="HTMLCode">
    <w:name w:val="HTML Code"/>
    <w:basedOn w:val="DefaultParagraphFont"/>
    <w:uiPriority w:val="99"/>
    <w:semiHidden/>
    <w:unhideWhenUsed/>
    <w:rsid w:val="0035375F"/>
    <w:rPr>
      <w:rFonts w:ascii="Courier New" w:eastAsia="Times New Roman" w:hAnsi="Courier New" w:cs="Courier New"/>
      <w:sz w:val="20"/>
      <w:szCs w:val="20"/>
    </w:rPr>
  </w:style>
  <w:style w:type="character" w:styleId="Emphasis">
    <w:name w:val="Emphasis"/>
    <w:basedOn w:val="DefaultParagraphFont"/>
    <w:uiPriority w:val="20"/>
    <w:qFormat/>
    <w:rsid w:val="003537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1417</Words>
  <Characters>10037</Characters>
  <Application>Microsoft Office Word</Application>
  <DocSecurity>0</DocSecurity>
  <Lines>130</Lines>
  <Paragraphs>62</Paragraphs>
  <ScaleCrop>false</ScaleCrop>
  <Company/>
  <LinksUpToDate>false</LinksUpToDate>
  <CharactersWithSpaces>11392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Ravelo</dc:creator>
  <cp:keywords/>
  <dc:description/>
  <cp:lastModifiedBy>Guillermo Ravelo</cp:lastModifiedBy>
  <cp:revision>1</cp:revision>
  <dcterms:created xsi:type="dcterms:W3CDTF">2026-03-10T04:09:00Z</dcterms:created>
  <dcterms:modified xsi:type="dcterms:W3CDTF">2026-03-10T04:14:00Z</dcterms:modified>
</cp:coreProperties>
</file>