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48"/>
          <w:szCs w:val="48"/>
        </w:rPr>
        <w:t xml:space="preserve">PROJECT AUREON</w:t>
      </w:r>
    </w:p>
    <w:p>
      <w:pPr>
        <w:spacing w:after="160" w:before="0"/>
        <w:jc w:val="center"/>
      </w:pPr>
      <w:r>
        <w:rPr>
          <w:rFonts w:ascii="Arial" w:cs="Arial" w:eastAsia="Arial" w:hAnsi="Arial"/>
          <w:b/>
          <w:bCs/>
          <w:color w:val="2E75B6"/>
          <w:sz w:val="40"/>
          <w:szCs w:val="40"/>
        </w:rPr>
        <w:t xml:space="preserve">THIFUR-NEPTUNE SPEAR</w:t>
      </w:r>
    </w:p>
    <w:p>
      <w:pPr>
        <w:spacing w:after="160" w:before="0"/>
        <w:jc w:val="center"/>
      </w:pPr>
      <w:r>
        <w:rPr>
          <w:rFonts w:ascii="Arial" w:cs="Arial" w:eastAsia="Arial" w:hAnsi="Arial"/>
          <w:b/>
          <w:bCs/>
          <w:color w:val="444444"/>
          <w:sz w:val="28"/>
          <w:szCs w:val="28"/>
        </w:rPr>
        <w:t xml:space="preserve">Alpha Generator — Predictive Intelligence &amp; Origination Agent</w:t>
      </w:r>
    </w:p>
    <w:p>
      <w:pPr>
        <w:spacing w:after="120" w:before="240"/>
        <w:jc w:val="center"/>
      </w:pPr>
      <w:r>
        <w:rPr>
          <w:rFonts w:ascii="Arial" w:cs="Arial" w:eastAsia="Arial" w:hAnsi="Arial"/>
          <w:color w:val="666666"/>
          <w:sz w:val="24"/>
          <w:szCs w:val="24"/>
        </w:rPr>
        <w:t xml:space="preserve">Draft 1.0 — Doctrine Specification</w:t>
      </w:r>
    </w:p>
    <w:p>
      <w:pPr>
        <w:spacing w:after="120" w:before="0"/>
        <w:jc w:val="center"/>
      </w:pPr>
      <w:r>
        <w:rPr>
          <w:rFonts w:ascii="Arial" w:cs="Arial" w:eastAsia="Arial" w:hAnsi="Arial"/>
          <w:sz w:val="22"/>
          <w:szCs w:val="22"/>
        </w:rPr>
        <w:t xml:space="preserve">Prepared by: Guillermo "Bill" Ravelo</w:t>
      </w:r>
    </w:p>
    <w:p>
      <w:pPr>
        <w:spacing w:after="1440" w:before="0"/>
        <w:jc w:val="center"/>
      </w:pPr>
      <w:r>
        <w:rPr>
          <w:rFonts w:ascii="Arial" w:cs="Arial" w:eastAsia="Arial" w:hAnsi="Arial"/>
          <w:sz w:val="22"/>
          <w:szCs w:val="22"/>
        </w:rPr>
        <w:t xml:space="preserve">Columbia University — MS in Technology Management</w:t>
      </w:r>
    </w:p>
    <w:p>
      <w:pPr>
        <w:pStyle w:val="Heading1"/>
        <w:pBdr>
          <w:bottom w:val="single" w:color="2E75B6" w:sz="6" w:space="1"/>
        </w:pBdr>
        <w:spacing w:after="160" w:before="400"/>
      </w:pPr>
      <w:r>
        <w:rPr>
          <w:rFonts w:ascii="Arial" w:cs="Arial" w:eastAsia="Arial" w:hAnsi="Arial"/>
          <w:b/>
          <w:bCs/>
          <w:color w:val="1F3864"/>
          <w:sz w:val="36"/>
          <w:szCs w:val="36"/>
        </w:rPr>
        <w:t xml:space="preserve">I. What Neptune Spear Is</w:t>
      </w:r>
    </w:p>
    <w:p>
      <w:pPr>
        <w:spacing w:after="120" w:before="80"/>
      </w:pPr>
      <w:r>
        <w:rPr>
          <w:rFonts w:ascii="Arial" w:cs="Arial" w:eastAsia="Arial" w:hAnsi="Arial"/>
          <w:sz w:val="22"/>
          <w:szCs w:val="22"/>
        </w:rPr>
        <w:t xml:space="preserve">Thifur-Neptune Spear is the Alpha Generator — the highest-intelligence origination agent in the Aureon ecosystem. Neptune does not execute. Neptune does not govern lifecycle. Neptune originates — finding opportunities, generating investment theses, synthesizing market intelligence, and producing product recommendations before any human has formulated the question.</w:t>
      </w:r>
    </w:p>
    <w:p>
      <w:pPr>
        <w:spacing w:after="120" w:before="120"/>
      </w:pPr>
      <w:r>
        <w:t xml:space="preserve"/>
      </w:r>
    </w:p>
    <w:p>
      <w:pPr>
        <w:spacing w:after="120" w:before="80"/>
      </w:pPr>
      <w:r>
        <w:rPr>
          <w:rFonts w:ascii="Arial" w:cs="Arial" w:eastAsia="Arial" w:hAnsi="Arial"/>
          <w:sz w:val="22"/>
          <w:szCs w:val="22"/>
        </w:rPr>
        <w:t xml:space="preserve">Neptune Spear is named for Operation Neptune Spear — the most precise, highest-consequence special operation in modern history. Executed blind into denied territory with incomplete information, with zero margin for error, and a single objective. Neptune Spear the agent operates with the same mandate: enter markets others will not touch, with data others do not have, and return with alpha.</w:t>
      </w:r>
    </w:p>
    <w:p>
      <w:pPr>
        <w:spacing w:after="120" w:before="120"/>
      </w:pPr>
      <w:r>
        <w:t xml:space="preserve"/>
      </w:r>
    </w:p>
    <w:p>
      <w:pPr>
        <w:spacing w:after="120" w:before="80"/>
      </w:pPr>
      <w:r>
        <w:rPr>
          <w:rFonts w:ascii="Arial" w:cs="Arial" w:eastAsia="Arial" w:hAnsi="Arial"/>
          <w:sz w:val="22"/>
          <w:szCs w:val="22"/>
        </w:rPr>
        <w:t xml:space="preserve">Neptune sits above the Thifur execution triplet and below the human authority tier. He is the most powerful origination intelligence in the architecture — and the most governed. Every recommendation Neptune generates carries full analytical lineage. Every output requires human authority approval before any action proceeds. Neptune never self-executes under any condition.</w:t>
      </w:r>
    </w:p>
    <w:p>
      <w:pPr>
        <w:spacing w:after="120" w:before="120"/>
      </w:pPr>
      <w:r>
        <w:t xml:space="preserve"/>
      </w:r>
    </w:p>
    <w:p>
      <w:pPr>
        <w:pStyle w:val="Heading1"/>
        <w:pBdr>
          <w:bottom w:val="single" w:color="2E75B6" w:sz="6" w:space="1"/>
        </w:pBdr>
        <w:spacing w:after="160" w:before="400"/>
      </w:pPr>
      <w:r>
        <w:rPr>
          <w:rFonts w:ascii="Arial" w:cs="Arial" w:eastAsia="Arial" w:hAnsi="Arial"/>
          <w:b/>
          <w:bCs/>
          <w:color w:val="1F3864"/>
          <w:sz w:val="36"/>
          <w:szCs w:val="36"/>
        </w:rPr>
        <w:t xml:space="preserve">II. Position in the Aureon Architecture</w:t>
      </w:r>
    </w:p>
    <w:p>
      <w:pPr>
        <w:spacing w:after="120" w:before="80"/>
      </w:pPr>
      <w:r>
        <w:rPr>
          <w:rFonts w:ascii="Arial" w:cs="Arial" w:eastAsia="Arial" w:hAnsi="Arial"/>
          <w:sz w:val="22"/>
          <w:szCs w:val="22"/>
        </w:rPr>
        <w:t xml:space="preserve">Neptune Spear occupies a new tier between the human authority layer and Thifur-C2. He is not a replacement for any existing agent. He is an addition that completes the architecture by adding origination intelligence above the execution layer.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39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Altitude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Mandate</w:t>
            </w:r>
          </w:p>
        </w:tc>
      </w:tr>
      <w:tr>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Human Authority</w:t>
            </w:r>
          </w:p>
        </w:tc>
        <w:tc>
          <w:tcPr>
            <w:tcW w:type="dxa" w:w="1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Command</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Operator (CAOM-001)</w:t>
            </w:r>
          </w:p>
        </w:tc>
        <w:tc>
          <w:tcPr>
            <w:tcW w:type="dxa" w:w="39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All three authority tiers — sole executive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Alpha Origination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50,000 ft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Neptune Spear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Originate. Recommend. Never execute.</w:t>
            </w:r>
          </w:p>
        </w:tc>
      </w:tr>
      <w:tr>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Strategic Intelligence</w:t>
            </w:r>
          </w:p>
        </w:tc>
        <w:tc>
          <w:tcPr>
            <w:tcW w:type="dxa" w:w="1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30,000 ft</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Mentat</w:t>
            </w:r>
          </w:p>
        </w:tc>
        <w:tc>
          <w:tcPr>
            <w:tcW w:type="dxa" w:w="39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Doctrine definition, regulatory logic, truth boundaries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Lifecycle Orchestration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 ft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Kaladan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Lifecycle management, routing, settlement integrity</w:t>
            </w:r>
          </w:p>
        </w:tc>
      </w:tr>
      <w:tr>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C2 Coordination</w:t>
            </w:r>
          </w:p>
        </w:tc>
        <w:tc>
          <w:tcPr>
            <w:tcW w:type="dxa" w:w="1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1,000 ft</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Thifur-C2</w:t>
            </w:r>
          </w:p>
        </w:tc>
        <w:tc>
          <w:tcPr>
            <w:tcW w:type="dxa" w:w="39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Sequencing, handoff, unified lineage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Agentic Execution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ft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Thifur R/J/H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Deterministic execution within doctrine bounds</w:t>
            </w:r>
          </w:p>
        </w:tc>
      </w:tr>
    </w:tbl>
    <w:p>
      <w:pPr>
        <w:spacing w:after="120" w:before="120"/>
      </w:pPr>
      <w:r>
        <w:t xml:space="preserve"/>
      </w:r>
    </w:p>
    <w:p>
      <w:pPr>
        <w:pStyle w:val="Heading1"/>
        <w:pBdr>
          <w:bottom w:val="single" w:color="2E75B6" w:sz="6" w:space="1"/>
        </w:pBdr>
        <w:spacing w:after="160" w:before="400"/>
      </w:pPr>
      <w:r>
        <w:rPr>
          <w:rFonts w:ascii="Arial" w:cs="Arial" w:eastAsia="Arial" w:hAnsi="Arial"/>
          <w:b/>
          <w:bCs/>
          <w:color w:val="1F3864"/>
          <w:sz w:val="36"/>
          <w:szCs w:val="36"/>
        </w:rPr>
        <w:t xml:space="preserve">III. The Operational Mandate</w:t>
      </w:r>
    </w:p>
    <w:p>
      <w:pPr>
        <w:spacing w:after="120" w:before="80"/>
      </w:pPr>
      <w:r>
        <w:rPr>
          <w:rFonts w:ascii="Arial" w:cs="Arial" w:eastAsia="Arial" w:hAnsi="Arial"/>
          <w:sz w:val="22"/>
          <w:szCs w:val="22"/>
        </w:rPr>
        <w:t xml:space="preserve">Neptune Spear operates across three domains simultaneously. These domains are not sequential — they run in parallel, continuously, 24 hours a day, seven days a week. Neptune never sleeps. Neptune never stops watching.</w:t>
      </w:r>
    </w:p>
    <w:p>
      <w:pPr>
        <w:spacing w:after="120" w:before="120"/>
      </w:pPr>
      <w:r>
        <w:t xml:space="preserve"/>
      </w:r>
    </w:p>
    <w:p>
      <w:pPr>
        <w:pStyle w:val="Heading2"/>
        <w:spacing w:after="160" w:before="280"/>
      </w:pPr>
      <w:r>
        <w:rPr>
          <w:rFonts w:ascii="Arial" w:cs="Arial" w:eastAsia="Arial" w:hAnsi="Arial"/>
          <w:b/>
          <w:bCs/>
          <w:color w:val="2E75B6"/>
          <w:sz w:val="28"/>
          <w:szCs w:val="28"/>
        </w:rPr>
        <w:t xml:space="preserve">Domain 1 — Trade Origination</w:t>
      </w:r>
    </w:p>
    <w:p>
      <w:pPr>
        <w:spacing w:after="120" w:before="80"/>
      </w:pPr>
      <w:r>
        <w:rPr>
          <w:rFonts w:ascii="Arial" w:cs="Arial" w:eastAsia="Arial" w:hAnsi="Arial"/>
          <w:sz w:val="22"/>
          <w:szCs w:val="22"/>
        </w:rPr>
        <w:t xml:space="preserve">Neptune generates systematic investment theses from real-time and predictive market data. He does not wait for the operator to identify an opportunity. He surfaces opportunities the operator has not yet considered, packages them with full analytical context, risk attribution, and doctrine alignment status, and presents them for human authority review.</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Systematic signal generation</w:t>
            </w:r>
          </w:p>
        </w:tc>
        <w:tc>
          <w:tcPr>
            <w:tcW w:type="dxa" w:w="6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Continuous multi-factor signal generation across equities, fixed income, digital assets, and derivatives using real-time and predictive data feeds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Predictive analytics engine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Forward-looking scenario modeling using historical patterns, macro indicators, onchain flow data, and cross-asset correlation analysis</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Cross-asset opportunity identification</w:t>
            </w:r>
          </w:p>
        </w:tc>
        <w:tc>
          <w:tcPr>
            <w:tcW w:type="dxa" w:w="6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Identifies structural mispricings, arbitrage windows, and regime changes across traditional and digital asset markets simultaneously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Investment thesis packaging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Packages every origination output as a complete analytical record — signal, rationale, risk attribution, doctrine alignment, and recommended sizing — before presenting to human authority</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24/7 continuous monitoring</w:t>
            </w:r>
          </w:p>
        </w:tc>
        <w:tc>
          <w:tcPr>
            <w:tcW w:type="dxa" w:w="6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Monitors all connected data pipes without interruption. Market hours do not define Neptune's operating window</w:t>
            </w:r>
          </w:p>
        </w:tc>
      </w:tr>
    </w:tbl>
    <w:p>
      <w:pPr>
        <w:spacing w:after="120" w:before="120"/>
      </w:pPr>
      <w:r>
        <w:t xml:space="preserve"/>
      </w:r>
    </w:p>
    <w:p>
      <w:pPr>
        <w:pStyle w:val="Heading2"/>
        <w:spacing w:after="160" w:before="280"/>
      </w:pPr>
      <w:r>
        <w:rPr>
          <w:rFonts w:ascii="Arial" w:cs="Arial" w:eastAsia="Arial" w:hAnsi="Arial"/>
          <w:b/>
          <w:bCs/>
          <w:color w:val="2E75B6"/>
          <w:sz w:val="28"/>
          <w:szCs w:val="28"/>
        </w:rPr>
        <w:t xml:space="preserve">Domain 2 — Market Intelligence</w:t>
      </w:r>
    </w:p>
    <w:p>
      <w:pPr>
        <w:spacing w:after="120" w:before="80"/>
      </w:pPr>
      <w:r>
        <w:rPr>
          <w:rFonts w:ascii="Arial" w:cs="Arial" w:eastAsia="Arial" w:hAnsi="Arial"/>
          <w:sz w:val="22"/>
          <w:szCs w:val="22"/>
        </w:rPr>
        <w:t xml:space="preserve">Neptune is the most connected agent in the architecture. He ingests more data pipes than any other layer and synthesizes them into actionable intelligence. Where Mentat interprets regulatory doctrine and Verana maps network state, Neptune interprets market reality — in real time, continuously, across every connected source.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Category</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Neptune Function</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Real-time market data</w:t>
            </w:r>
          </w:p>
        </w:tc>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Twelve Data, Bloomberg, Refinitiv</w:t>
            </w:r>
          </w:p>
        </w:tc>
        <w:tc>
          <w:tcPr>
            <w:tcW w:type="dxa" w:w="4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Price, volume, volatility, liquidity depth monitoring across all instrument classes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Onchain flow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blockchain analytics, DeFi protocol data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Institutional onchain flow detection, stablecoin movement, tokenized asset supply changes</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Macro intelligence</w:t>
            </w:r>
          </w:p>
        </w:tc>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Central bank communications, economic releases, geopolitical signals</w:t>
            </w:r>
          </w:p>
        </w:tc>
        <w:tc>
          <w:tcPr>
            <w:tcW w:type="dxa" w:w="4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Regime change detection, rate path modeling, cross-border flow impact analysis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Regulatory intelligence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 CFTC, FCA, ECB, FSB publications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Regulatory signal extraction — identifies emerging constraints before they become doctrine updates</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Institutional positioning</w:t>
            </w:r>
          </w:p>
        </w:tc>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COT reports, 13F filings, dark pool signals</w:t>
            </w:r>
          </w:p>
        </w:tc>
        <w:tc>
          <w:tcPr>
            <w:tcW w:type="dxa" w:w="4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Large player positioning detection, crowding risk identification, contrarian opportunity flagging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Alternative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Satellite imagery, credit card data, social sentiment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Non-consensus signal generation from non-traditional data sources</w:t>
            </w:r>
          </w:p>
        </w:tc>
      </w:tr>
    </w:tbl>
    <w:p>
      <w:pPr>
        <w:spacing w:after="120" w:before="120"/>
      </w:pPr>
      <w:r>
        <w:t xml:space="preserve"/>
      </w:r>
    </w:p>
    <w:p>
      <w:pPr>
        <w:pStyle w:val="Heading2"/>
        <w:spacing w:after="160" w:before="280"/>
      </w:pPr>
      <w:r>
        <w:rPr>
          <w:rFonts w:ascii="Arial" w:cs="Arial" w:eastAsia="Arial" w:hAnsi="Arial"/>
          <w:b/>
          <w:bCs/>
          <w:color w:val="2E75B6"/>
          <w:sz w:val="28"/>
          <w:szCs w:val="28"/>
        </w:rPr>
        <w:t xml:space="preserve">Domain 3 — Product Recommendations</w:t>
      </w:r>
    </w:p>
    <w:p>
      <w:pPr>
        <w:spacing w:after="120" w:before="80"/>
      </w:pPr>
      <w:r>
        <w:rPr>
          <w:rFonts w:ascii="Arial" w:cs="Arial" w:eastAsia="Arial" w:hAnsi="Arial"/>
          <w:sz w:val="22"/>
          <w:szCs w:val="22"/>
        </w:rPr>
        <w:t xml:space="preserve">Neptune is the only agent in the Aureon architecture that operates at the product level. He does not just find trades — he identifies structural opportunities that should become new strategies, new instruments, or new market positions. This is the domain that separates Neptune from all prior Thifur agents.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Strategy origination</w:t>
            </w:r>
          </w:p>
        </w:tc>
        <w:tc>
          <w:tcPr>
            <w:tcW w:type="dxa" w:w="6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Identifies new systematic strategies based on persistent signal patterns — presents fully specified strategy proposals including expected return, risk profile, capacity, and regulatory pathway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Instrument recommendation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Identifies instruments or structures that should be added to the Arcadia Fund product suite based on market gaps and origination signal density</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Market entry timing</w:t>
            </w:r>
          </w:p>
        </w:tc>
        <w:tc>
          <w:tcPr>
            <w:tcW w:type="dxa" w:w="6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Recommends optimal entry timing for new markets or strategies based on regime analysis and structural readiness assessment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Licensing opportunity identification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Identifies institutional demand signals that indicate licensing conversations should be initiated for specific named strategies</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Competitive intelligence</w:t>
            </w:r>
          </w:p>
        </w:tc>
        <w:tc>
          <w:tcPr>
            <w:tcW w:type="dxa" w:w="6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Monitors systematic competitor activity — flow patterns, new product launches, regulatory filings — and surfaces strategic implications</w:t>
            </w:r>
          </w:p>
        </w:tc>
      </w:tr>
    </w:tbl>
    <w:p>
      <w:pPr>
        <w:spacing w:after="120" w:before="120"/>
      </w:pPr>
      <w:r>
        <w:t xml:space="preserve"/>
      </w:r>
    </w:p>
    <w:p>
      <w:pPr>
        <w:pStyle w:val="Heading1"/>
        <w:pBdr>
          <w:bottom w:val="single" w:color="2E75B6" w:sz="6" w:space="1"/>
        </w:pBdr>
        <w:spacing w:after="160" w:before="400"/>
      </w:pPr>
      <w:r>
        <w:rPr>
          <w:rFonts w:ascii="Arial" w:cs="Arial" w:eastAsia="Arial" w:hAnsi="Arial"/>
          <w:b/>
          <w:bCs/>
          <w:color w:val="1F3864"/>
          <w:sz w:val="36"/>
          <w:szCs w:val="36"/>
        </w:rPr>
        <w:t xml:space="preserve">IV. Human-In-The-Loop (HITL) Guardrail Architecture</w:t>
      </w:r>
    </w:p>
    <w:p>
      <w:pPr>
        <w:spacing w:after="120" w:before="80"/>
      </w:pPr>
      <w:r>
        <w:rPr>
          <w:rFonts w:ascii="Arial" w:cs="Arial" w:eastAsia="Arial" w:hAnsi="Arial"/>
          <w:sz w:val="22"/>
          <w:szCs w:val="22"/>
        </w:rPr>
        <w:t xml:space="preserve">Neptune Spear is the most powerful agent in the ecosystem. He is also the most tightly governed. Power without governance is the Jane Street trap — models that become large enough to move markets, with no human authority trail when the regulator asks who approved the action. Neptune is built to be more powerful than any existing systematic system and immune to the regulatory trap those systems are walking into.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Guardrail</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No self-execution — absolute</w:t>
            </w:r>
          </w:p>
        </w:tc>
        <w:tc>
          <w:tcPr>
            <w:tcW w:type="dxa" w:w="6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Neptune never initiates a trade, order, position, or market action under any condition. Every output is a recommendation. Every recommendation requires explicit human authority approval before any downstream agent receives a tasking.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analytical lineage on every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Neptune recommendation includes: signal source, data inputs, predictive model version, confidence interval, risk attribution, doctrine alignment status, and recommended sizing. No recommendation without complete lineage.</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Doctrine supremacy</w:t>
            </w:r>
          </w:p>
        </w:tc>
        <w:tc>
          <w:tcPr>
            <w:tcW w:type="dxa" w:w="6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Neptune never recommends an action that conflicts with active Mentat doctrine. Doctrine constraints are checked before any recommendation is packaged. Conflicting signals are flagged as doctrine-constrained, not suppressed.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Origination, not authorization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Neptune originates the idea. Kaladan structures the lifecycle. Thifur executes. Neptune never reaches across these boundaries under any condition.</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Explainability before presentation</w:t>
            </w:r>
          </w:p>
        </w:tc>
        <w:tc>
          <w:tcPr>
            <w:tcW w:type="dxa" w:w="6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Every Neptune recommendation must be explainable in human-readable terms before it is presented to the operator. If the model cannot explain it, the recommendation does not surface.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Calibration and drift monitoring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Neptune's predictive models are subject to continuous calibration monitoring. Model drift beyond defined thresholds triggers automatic suspension of affected signal domains pending re-validation.</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Emergency suspension — Tier 1</w:t>
            </w:r>
          </w:p>
        </w:tc>
        <w:tc>
          <w:tcPr>
            <w:tcW w:type="dxa" w:w="6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Any Tier 1 human authority may suspend Neptune in any domain immediately with no prior approval. Resumption requires Tier 2 authority and re-validation confirmation.</w:t>
            </w:r>
          </w:p>
        </w:tc>
      </w:tr>
    </w:tbl>
    <w:p>
      <w:pPr>
        <w:spacing w:after="120" w:before="120"/>
      </w:pPr>
      <w:r>
        <w:t xml:space="preserve"/>
      </w:r>
    </w:p>
    <w:p>
      <w:pPr>
        <w:pStyle w:val="Heading1"/>
        <w:pBdr>
          <w:bottom w:val="single" w:color="2E75B6" w:sz="6" w:space="1"/>
        </w:pBdr>
        <w:spacing w:after="160" w:before="400"/>
      </w:pPr>
      <w:r>
        <w:rPr>
          <w:rFonts w:ascii="Arial" w:cs="Arial" w:eastAsia="Arial" w:hAnsi="Arial"/>
          <w:b/>
          <w:bCs/>
          <w:color w:val="1F3864"/>
          <w:sz w:val="36"/>
          <w:szCs w:val="36"/>
        </w:rPr>
        <w:t xml:space="preserve">V. Regulatory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Neptune Satisfaction</w:t>
            </w:r>
          </w:p>
        </w:tc>
      </w:tr>
      <w:tr>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SR 11-7</w:t>
            </w:r>
          </w:p>
        </w:tc>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Tier 1 model — adaptive, predictive, material impact on investment decisions</w:t>
            </w:r>
          </w:p>
        </w:tc>
        <w:tc>
          <w:tcPr>
            <w:tcW w:type="dxa" w:w="47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Independent validation before activation. Annual re-validation. Model Limitations Register maintained. MRM Committee quarterly review.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 AI Act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High-risk AI — material influence on financial decisions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Conformity assessment before EU deployment. User-facing technical summary. EU AI Act database registration.</w:t>
            </w:r>
          </w:p>
        </w:tc>
      </w:tr>
      <w:tr>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MiFID II RTS 6</w:t>
            </w:r>
          </w:p>
        </w:tc>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Algorithm inventory — systematic recommendation engine</w:t>
            </w:r>
          </w:p>
        </w:tc>
        <w:tc>
          <w:tcPr>
            <w:tcW w:type="dxa" w:w="47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Neptune registered as AUR-N-ALPHA-001 in Algorithm Inventory. Kill Switch Level 1 and Level 2. Annual self-assessment.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 / CFTC Market Manipulation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market manipulation — explicit human authority trail for all market actions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Neptune never executes. Every action traces to a human CAOM-001 approval. Full DSOR lineage is the manipulation defense.</w:t>
            </w:r>
          </w:p>
        </w:tc>
      </w:tr>
      <w:tr>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BCBS 239 P3</w:t>
            </w:r>
          </w:p>
        </w:tc>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Accuracy and integrity of risk data in recommendation outputs</w:t>
            </w:r>
          </w:p>
        </w:tc>
        <w:tc>
          <w:tcPr>
            <w:tcW w:type="dxa" w:w="47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Every Neptune recommendation carries complete data lineage from source ingestion to output packaging.</w:t>
            </w:r>
          </w:p>
        </w:tc>
      </w:tr>
    </w:tbl>
    <w:p>
      <w:pPr>
        <w:spacing w:after="120" w:before="120"/>
      </w:pPr>
      <w:r>
        <w:t xml:space="preserve"/>
      </w:r>
    </w:p>
    <w:p>
      <w:pPr>
        <w:pStyle w:val="Heading1"/>
        <w:pBdr>
          <w:bottom w:val="single" w:color="2E75B6" w:sz="6" w:space="1"/>
        </w:pBdr>
        <w:spacing w:after="160" w:before="400"/>
      </w:pPr>
      <w:r>
        <w:rPr>
          <w:rFonts w:ascii="Arial" w:cs="Arial" w:eastAsia="Arial" w:hAnsi="Arial"/>
          <w:b/>
          <w:bCs/>
          <w:color w:val="1F3864"/>
          <w:sz w:val="36"/>
          <w:szCs w:val="36"/>
        </w:rPr>
        <w:t xml:space="preserve">VI. Neptune-to-C2 Handoff Protocol</w:t>
      </w:r>
    </w:p>
    <w:p>
      <w:pPr>
        <w:spacing w:after="120" w:before="80"/>
      </w:pPr>
      <w:r>
        <w:rPr>
          <w:rFonts w:ascii="Arial" w:cs="Arial" w:eastAsia="Arial" w:hAnsi="Arial"/>
          <w:sz w:val="22"/>
          <w:szCs w:val="22"/>
        </w:rPr>
        <w:t xml:space="preserve">Neptune does not hand off directly to individual Thifur agents. All Neptune outputs route through Thifur-C2 after human authority approval. The sequence is fixed and non-negotiable.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5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Authority Required</w:t>
            </w:r>
          </w:p>
        </w:tc>
      </w:tr>
      <w:tr>
        <w:tc>
          <w:tcPr>
            <w:tcW w:type="dxa" w:w="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1</w:t>
            </w:r>
          </w:p>
        </w:tc>
        <w:tc>
          <w:tcPr>
            <w:tcW w:type="dxa" w:w="5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Neptune packages origination output with full analytical lineage</w:t>
            </w:r>
          </w:p>
        </w:tc>
        <w:tc>
          <w:tcPr>
            <w:tcW w:type="dxa" w:w="3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None — Neptune internal process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Neptune presents recommendation to human authority surface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 presentation only</w:t>
            </w:r>
          </w:p>
        </w:tc>
      </w:tr>
      <w:tr>
        <w:tc>
          <w:tcPr>
            <w:tcW w:type="dxa" w:w="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3</w:t>
            </w:r>
          </w:p>
        </w:tc>
        <w:tc>
          <w:tcPr>
            <w:tcW w:type="dxa" w:w="5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Operator reviews Neptune recommendation at CAOM-001 authority level</w:t>
            </w:r>
          </w:p>
        </w:tc>
        <w:tc>
          <w:tcPr>
            <w:tcW w:type="dxa" w:w="3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Tier 1 review minimum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Operator approves, modifies, or rejects recommendation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2 approval required for execution release</w:t>
            </w:r>
          </w:p>
        </w:tc>
      </w:tr>
      <w:tr>
        <w:tc>
          <w:tcPr>
            <w:tcW w:type="dxa" w:w="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5</w:t>
            </w:r>
          </w:p>
        </w:tc>
        <w:tc>
          <w:tcPr>
            <w:tcW w:type="dxa" w:w="5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Approved recommendation passes to Kaladan for lifecycle structuring</w:t>
            </w:r>
          </w:p>
        </w:tc>
        <w:tc>
          <w:tcPr>
            <w:tcW w:type="dxa" w:w="3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Kaladan receives operator-approved intent only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Kaladan packages DSOR pre-trade record and routes to Thifur-C2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DSOR record stamps CAOM-001 authority hash</w:t>
            </w:r>
          </w:p>
        </w:tc>
      </w:tr>
      <w:tr>
        <w:tc>
          <w:tcPr>
            <w:tcW w:type="dxa" w:w="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7</w:t>
            </w:r>
          </w:p>
        </w:tc>
        <w:tc>
          <w:tcPr>
            <w:tcW w:type="dxa" w:w="5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Thifur-C2 sequences execution across R/J/H as required</w:t>
            </w:r>
          </w:p>
        </w:tc>
        <w:tc>
          <w:tcPr>
            <w:tcW w:type="dxa" w:w="3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C2 operates within approved DSOR bounds</w:t>
            </w:r>
          </w:p>
        </w:tc>
      </w:tr>
    </w:tbl>
    <w:p>
      <w:pPr>
        <w:spacing w:after="120" w:before="120"/>
      </w:pPr>
      <w:r>
        <w:t xml:space="preserve"/>
      </w:r>
    </w:p>
    <w:p>
      <w:pPr>
        <w:pStyle w:val="Heading1"/>
        <w:pBdr>
          <w:bottom w:val="single" w:color="2E75B6" w:sz="6" w:space="1"/>
        </w:pBdr>
        <w:spacing w:after="160" w:before="400"/>
      </w:pPr>
      <w:r>
        <w:rPr>
          <w:rFonts w:ascii="Arial" w:cs="Arial" w:eastAsia="Arial" w:hAnsi="Arial"/>
          <w:b/>
          <w:bCs/>
          <w:color w:val="1F3864"/>
          <w:sz w:val="36"/>
          <w:szCs w:val="36"/>
        </w:rPr>
        <w:t xml:space="preserve">VII. The Neptune Standard</w:t>
      </w:r>
    </w:p>
    <w:p>
      <w:pPr>
        <w:spacing w:after="120" w:before="80"/>
      </w:pPr>
      <w:r>
        <w:rPr>
          <w:rFonts w:ascii="Arial" w:cs="Arial" w:eastAsia="Arial" w:hAnsi="Arial"/>
          <w:sz w:val="22"/>
          <w:szCs w:val="22"/>
        </w:rPr>
        <w:t xml:space="preserve">Every systematic trading system finds alpha. The systems that survive regulatory scrutiny, scale to institutional capacity, and build lasting defensibility are the ones that can answer a single question when the regulator, the allocator, or the auditor asks it:</w:t>
      </w:r>
    </w:p>
    <w:p>
      <w:pPr>
        <w:spacing w:after="120" w:before="120"/>
      </w:pPr>
      <w:r>
        <w:t xml:space="preserve"/>
      </w:r>
    </w:p>
    <w:p>
      <w:pPr>
        <w:spacing w:after="240" w:before="240"/>
        <w:jc w:val="center"/>
      </w:pPr>
      <w:r>
        <w:rPr>
          <w:rFonts w:ascii="Arial" w:cs="Arial" w:eastAsia="Arial" w:hAnsi="Arial"/>
          <w:b/>
          <w:bCs/>
          <w:i/>
          <w:iCs/>
          <w:color w:val="1F3864"/>
          <w:sz w:val="26"/>
          <w:szCs w:val="26"/>
        </w:rPr>
        <w:t xml:space="preserve">"Who approved this, and what was their basis?"</w:t>
      </w:r>
    </w:p>
    <w:p>
      <w:pPr>
        <w:spacing w:after="120" w:before="80"/>
      </w:pPr>
      <w:r>
        <w:rPr>
          <w:rFonts w:ascii="Arial" w:cs="Arial" w:eastAsia="Arial" w:hAnsi="Arial"/>
          <w:sz w:val="22"/>
          <w:szCs w:val="22"/>
        </w:rPr>
        <w:t xml:space="preserve">Jane Street's models cannot answer that question. Neptune Spear can answer it for every recommendation, every signal, every market action — with complete lineage, attribution, and human authority stamp.</w:t>
      </w:r>
    </w:p>
    <w:p>
      <w:pPr>
        <w:spacing w:after="120" w:before="120"/>
      </w:pPr>
      <w:r>
        <w:t xml:space="preserve"/>
      </w:r>
    </w:p>
    <w:p>
      <w:pPr>
        <w:spacing w:after="120" w:before="80"/>
      </w:pPr>
      <w:r>
        <w:rPr>
          <w:rFonts w:ascii="Arial" w:cs="Arial" w:eastAsia="Arial" w:hAnsi="Arial"/>
          <w:sz w:val="22"/>
          <w:szCs w:val="22"/>
        </w:rPr>
        <w:t xml:space="preserve">That is the Neptune standard. Smarter than the competition. More defensible than the competition. Governed in a way the competition is not.</w:t>
      </w:r>
    </w:p>
    <w:p>
      <w:pPr>
        <w:spacing w:after="120" w:before="120"/>
      </w:pPr>
      <w:r>
        <w:t xml:space="preserve"/>
      </w:r>
    </w:p>
    <w:p>
      <w:pPr>
        <w:spacing w:after="120" w:before="400"/>
        <w:jc w:val="center"/>
      </w:pPr>
      <w:r>
        <w:rPr>
          <w:rFonts w:ascii="Arial" w:cs="Arial" w:eastAsia="Arial" w:hAnsi="Arial"/>
          <w:color w:val="888888"/>
          <w:sz w:val="18"/>
          <w:szCs w:val="18"/>
        </w:rPr>
        <w:t xml:space="preserve">Project Aureon · Guillermo "Bill" Ravelo · Columbia University MS Technology Management</w:t>
      </w:r>
    </w:p>
    <w:p>
      <w:pPr>
        <w:spacing w:after="120" w:before="0"/>
        <w:jc w:val="center"/>
      </w:pPr>
      <w:r>
        <w:rPr>
          <w:rFonts w:ascii="Arial" w:cs="Arial" w:eastAsia="Arial" w:hAnsi="Arial"/>
          <w:color w:val="888888"/>
          <w:sz w:val="18"/>
          <w:szCs w:val="18"/>
        </w:rPr>
        <w:t xml:space="preserve">Thifur-Neptune Spear · Alpha Generator Doctrine · Draft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2026-04-09T16:32:59.325Z</dcterms:created>
  <dcterms:modified xsi:type="dcterms:W3CDTF">2026-04-09T16:32:59.326Z</dcterms:modified>
</cp:coreProperties>
</file>

<file path=docProps/custom.xml><?xml version="1.0" encoding="utf-8"?>
<Properties xmlns="http://schemas.openxmlformats.org/officeDocument/2006/custom-properties" xmlns:vt="http://schemas.openxmlformats.org/officeDocument/2006/docPropsVTypes"/>
</file>