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4512" w14:textId="77777777" w:rsidR="00016DBC" w:rsidRDefault="00016DBC" w:rsidP="00016DBC">
      <w:r>
        <w:t>**Investment Thesis – March 13, 2026**</w:t>
      </w:r>
    </w:p>
    <w:p w14:paraId="5859810E" w14:textId="77777777" w:rsidR="00016DBC" w:rsidRDefault="00016DBC" w:rsidP="00016DBC"/>
    <w:p w14:paraId="7CB8D4CB" w14:textId="77777777" w:rsidR="00016DBC" w:rsidRDefault="00016DBC" w:rsidP="00016DBC">
      <w:r>
        <w:t xml:space="preserve">Amid the intensifying U.S.-Iran conflict entering its third week, with proxy escalations in the Red Sea and cyber skirmishes disrupting global supply chains, the equity markets are poised for a high-volatility regime shift. The S&amp;P 500 has plunged to 6,550–6,600, marking a 12% drawdown from February highs, driven by spiking oil at $105/barrel, VIX surging past 35, and Treasury yields inverting further (10Y-2Y spread at -50bps). This environment amplifies tail </w:t>
      </w:r>
      <w:proofErr w:type="gramStart"/>
      <w:r>
        <w:t>risks, but</w:t>
      </w:r>
      <w:proofErr w:type="gramEnd"/>
      <w:r>
        <w:t xml:space="preserve"> presents a contrarian high-risk/high-reward opportunity: positioning for a "black swan" de-escalation catalyst—such as backchannel diplomacy or OPEC+ intervention—that could ignite a violent short-covering rally in oversold growth sectors, while hedging with volatility products and energy puts.</w:t>
      </w:r>
    </w:p>
    <w:p w14:paraId="59C8605D" w14:textId="77777777" w:rsidR="00016DBC" w:rsidRDefault="00016DBC" w:rsidP="00016DBC"/>
    <w:p w14:paraId="7725A9EC" w14:textId="77777777" w:rsidR="00016DBC" w:rsidRDefault="00016DBC" w:rsidP="00016DBC">
      <w:r>
        <w:t>Key macro and micro drivers include:</w:t>
      </w:r>
    </w:p>
    <w:p w14:paraId="7AF4B047" w14:textId="77777777" w:rsidR="00016DBC" w:rsidRDefault="00016DBC" w:rsidP="00016DBC">
      <w:r>
        <w:t>- **Geopolitical vortex**: Strait of Hormuz bottlenecks threaten 20% of global oil transit, inflating energy costs and stoking stagflation fears; however, historical precedents (e.g., 2019 tanker incidents) suggest resolutions within 4-6 weeks, potentially unleashing pent-up demand if U.S. strategic petroleum reserves are tapped aggressively.</w:t>
      </w:r>
    </w:p>
    <w:p w14:paraId="181B8337" w14:textId="77777777" w:rsidR="00016DBC" w:rsidRDefault="00016DBC" w:rsidP="00016DBC">
      <w:r>
        <w:t>- **Monetary policy tightrope**: Fed holds rates at 3.5–3.75% amid sticky core PCE at 3.2%, but dovish signals from recent FOMC minutes (hinting at Q2 cuts if inflation moderates) could accelerate if conflict eases, boosting liquidity-sensitive assets; conversely, prolonged tensions risk a "higher-for-longer" pivot, crushing multiples.</w:t>
      </w:r>
    </w:p>
    <w:p w14:paraId="72858C5A" w14:textId="77777777" w:rsidR="00016DBC" w:rsidRDefault="00016DBC" w:rsidP="00016DBC">
      <w:r>
        <w:t>- **Sector dislocations**: Tech (QQQ down 15%) faces input cost pressures and AI capex delays, but undervalued names like NVDA (P/E compressed to 35x forward) and MSFT offer asymmetric upside on resolution; energy (XLE up 8%) appears overbought, warranting shorts via options (e.g., April puts on XOM); defensives like utilities and healthcare provide ballast but lag in rebounds.</w:t>
      </w:r>
    </w:p>
    <w:p w14:paraId="08663B74" w14:textId="77777777" w:rsidR="00016DBC" w:rsidRDefault="00016DBC" w:rsidP="00016DBC">
      <w:r>
        <w:t xml:space="preserve">- **Liquidity and sentiment dynamics**: Record outflows from equity ETFs ($50B weekly), amplified by retail panic (AAII bearish sentiment at 55%), set the stage for capitulation; </w:t>
      </w:r>
      <w:proofErr w:type="gramStart"/>
      <w:r>
        <w:t>yet,</w:t>
      </w:r>
      <w:proofErr w:type="gramEnd"/>
      <w:r>
        <w:t xml:space="preserve"> institutional dry powder (sideline cash at $6T) and potential fiscal stimulus (rumored U.S. infrastructure bill) could fuel a 10-15% snapback.</w:t>
      </w:r>
    </w:p>
    <w:p w14:paraId="55039433" w14:textId="77777777" w:rsidR="00016DBC" w:rsidRDefault="00016DBC" w:rsidP="00016DBC">
      <w:r>
        <w:t>- **Global spillovers**: Emerging markets (EEM down 18%) suffer from dollar strength (DXY at 110), but China’s stimulus hints and EU energy diversification efforts mitigate downside; crypto correlations (BTC testing $80K support) add leverage potential via correlated trades.</w:t>
      </w:r>
    </w:p>
    <w:p w14:paraId="0559582D" w14:textId="77777777" w:rsidR="00016DBC" w:rsidRDefault="00016DBC" w:rsidP="00016DBC"/>
    <w:p w14:paraId="4F985C30" w14:textId="77777777" w:rsidR="00016DBC" w:rsidRDefault="00016DBC" w:rsidP="00016DBC">
      <w:r>
        <w:t xml:space="preserve">Realistic high-risk scenario (base case ~30% probability): Conflict protracts through April, driving S&amp;P to 6,000–6,200 amid recession signals (inverted yield curve deepens, jobless claims spike), yielding 20-30% further downside in growth stocks but 50%+ gains in VIX-linked ETPs (e.g., UVXY calls). Upside catalyst (bull case ~40%): Swift de-escalation via UN mediation or Iranian concessions triggers a relief melt-up, with tech rebounding 25%+ in weeks, amplified by FOMO inflows. Downside tail (bear case ~30%): Full </w:t>
      </w:r>
      <w:r>
        <w:lastRenderedPageBreak/>
        <w:t>blockade or U.S. strikes escalate to regional war, crashing markets 30%+ and spiking inflation to 5%, favoring gold/commodity hedges.</w:t>
      </w:r>
    </w:p>
    <w:p w14:paraId="23156CDD" w14:textId="77777777" w:rsidR="00016DBC" w:rsidRDefault="00016DBC" w:rsidP="00016DBC"/>
    <w:p w14:paraId="5B425A12" w14:textId="07FE2272" w:rsidR="005D62B1" w:rsidRDefault="00016DBC" w:rsidP="00016DBC">
      <w:r>
        <w:t>Trade structure: Aggressive allocation (20-30% portfolio risk budget) via 2-3x levered ETFs (e.g., TQQQ for long tech dip-buy, DRIP for short energy), paired with defined-risk options (e.g., NVDA April 800/900 call spreads, XLE May 90 puts); incorporate stops at 5-7% loss thresholds. Monitor real-time indicators: oil futures, diplomatic headlines (via State Dept. feeds), and VIX term structure for convexity. This thesis embodies high-conviction speculation in a disrupted landscape, balancing profound risks with transformative rewards if catalysts align—conviction tempered by uncertainty at 70/100.</w:t>
      </w:r>
    </w:p>
    <w:sectPr w:rsidR="005D62B1" w:rsidSect="00E84F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BC"/>
    <w:rsid w:val="00016DBC"/>
    <w:rsid w:val="001C4EE4"/>
    <w:rsid w:val="002E632E"/>
    <w:rsid w:val="003E7791"/>
    <w:rsid w:val="005D62B1"/>
    <w:rsid w:val="0069524A"/>
    <w:rsid w:val="007B0B03"/>
    <w:rsid w:val="008557D6"/>
    <w:rsid w:val="00944F01"/>
    <w:rsid w:val="00E84F1E"/>
    <w:rsid w:val="00FA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60AFB"/>
  <w15:chartTrackingRefBased/>
  <w15:docId w15:val="{BE11577E-865B-154B-9F05-1FDDF110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3246</Characters>
  <Application>Microsoft Office Word</Application>
  <DocSecurity>0</DocSecurity>
  <Lines>46</Lines>
  <Paragraphs>11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Ravelo</dc:creator>
  <cp:keywords/>
  <dc:description/>
  <cp:lastModifiedBy>Guillermo Ravelo</cp:lastModifiedBy>
  <cp:revision>1</cp:revision>
  <dcterms:created xsi:type="dcterms:W3CDTF">2026-03-14T01:19:00Z</dcterms:created>
  <dcterms:modified xsi:type="dcterms:W3CDTF">2026-03-14T01:19:00Z</dcterms:modified>
</cp:coreProperties>
</file>