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D757" w14:textId="77777777" w:rsidR="00B82DF7" w:rsidRDefault="00000000">
      <w:pPr>
        <w:pStyle w:val="Heading1"/>
      </w:pPr>
      <w:r>
        <w:t>My Thoughts and Notes – 13 March 2026</w:t>
      </w:r>
    </w:p>
    <w:p w14:paraId="74B3C62C" w14:textId="77777777" w:rsidR="00B82DF7" w:rsidRDefault="00000000">
      <w:pPr>
        <w:pStyle w:val="Heading2"/>
      </w:pPr>
      <w:r>
        <w:t>1. Realization: Start With the Source of Truth</w:t>
      </w:r>
    </w:p>
    <w:p w14:paraId="2FC66E36" w14:textId="77777777" w:rsidR="00B82DF7" w:rsidRDefault="00000000">
      <w:r>
        <w:t xml:space="preserve">One of the most important lessons in building complex systems is identifying the single source of truth. </w:t>
      </w:r>
      <w:r>
        <w:br/>
        <w:t xml:space="preserve">For many operational domains, everything flows from one primary document that defines intent, constraints, </w:t>
      </w:r>
      <w:r>
        <w:br/>
        <w:t>objectives, and execution logic. Examples include:</w:t>
      </w:r>
    </w:p>
    <w:p w14:paraId="6A7EDA91" w14:textId="77777777" w:rsidR="00B82DF7" w:rsidRDefault="00000000">
      <w:r>
        <w:t>- Military operations → OPORD (Operational Order)</w:t>
      </w:r>
      <w:r>
        <w:br/>
        <w:t>- Construction → Architectural blueprints</w:t>
      </w:r>
      <w:r>
        <w:br/>
        <w:t>- Aviation → Flight plan</w:t>
      </w:r>
      <w:r>
        <w:br/>
        <w:t>- Software → Product requirement document (PRD)</w:t>
      </w:r>
      <w:r>
        <w:br/>
        <w:t>- Investment management → Investment thesis or IC memo</w:t>
      </w:r>
    </w:p>
    <w:p w14:paraId="1F93DB6C" w14:textId="77777777" w:rsidR="00B82DF7" w:rsidRDefault="00000000">
      <w:r>
        <w:t>The correct architectural pattern is:</w:t>
      </w:r>
    </w:p>
    <w:p w14:paraId="0655838C" w14:textId="77777777" w:rsidR="00B82DF7" w:rsidRDefault="00000000">
      <w:r>
        <w:t>Source Document → Structured Model → Execution Engine → Visualization / Output</w:t>
      </w:r>
    </w:p>
    <w:p w14:paraId="19A44603" w14:textId="77777777" w:rsidR="00B82DF7" w:rsidRDefault="00000000">
      <w:r>
        <w:t>When this order is followed, systems become deterministic, traceable, and auditable.</w:t>
      </w:r>
    </w:p>
    <w:p w14:paraId="069C6F0A" w14:textId="77777777" w:rsidR="00B82DF7" w:rsidRDefault="00000000">
      <w:pPr>
        <w:pStyle w:val="Heading2"/>
      </w:pPr>
      <w:r>
        <w:t>3. Parallel Insight for Project Aureon</w:t>
      </w:r>
    </w:p>
    <w:p w14:paraId="3A5C7BC5" w14:textId="77777777" w:rsidR="00B82DF7" w:rsidRDefault="00000000">
      <w:r>
        <w:t xml:space="preserve">While reflecting on this architecture, a parallel idea emerged for Project Aureon, the pre‑trade governance </w:t>
      </w:r>
      <w:r>
        <w:br/>
        <w:t>and investment decision platform.</w:t>
      </w:r>
    </w:p>
    <w:p w14:paraId="090503B2" w14:textId="77777777" w:rsidR="00B82DF7" w:rsidRDefault="00000000">
      <w:r>
        <w:t xml:space="preserve">In investment management, the equivalent of an OPORD is the investment thesis or IC memo. </w:t>
      </w:r>
      <w:r>
        <w:br/>
        <w:t>This document explains why a trade or investment should exist and what conditions are expected to drive returns.</w:t>
      </w:r>
    </w:p>
    <w:p w14:paraId="206B6FF3" w14:textId="77777777" w:rsidR="00B82DF7" w:rsidRDefault="00000000">
      <w:r>
        <w:t xml:space="preserve">If Aureon could ingest that thesis document and interpret its logic, it could perform scenario analysis and </w:t>
      </w:r>
      <w:r>
        <w:br/>
        <w:t>backtesting before the investment is approved.</w:t>
      </w:r>
    </w:p>
    <w:p w14:paraId="54B27E2A" w14:textId="77777777" w:rsidR="00B82DF7" w:rsidRDefault="00000000">
      <w:pPr>
        <w:pStyle w:val="Heading2"/>
      </w:pPr>
      <w:r>
        <w:t>4. Concept: Thesis‑Driven Investment Analysis</w:t>
      </w:r>
    </w:p>
    <w:p w14:paraId="5E9EF6A2" w14:textId="77777777" w:rsidR="00B82DF7" w:rsidRDefault="00000000">
      <w:r>
        <w:t>Proposed architecture for Aureon:</w:t>
      </w:r>
    </w:p>
    <w:p w14:paraId="13689BD7" w14:textId="77777777" w:rsidR="00B82DF7" w:rsidRDefault="00000000">
      <w:r>
        <w:t>Investment Thesis (Research Memo)</w:t>
      </w:r>
      <w:r>
        <w:br/>
        <w:t>↓</w:t>
      </w:r>
      <w:r>
        <w:br/>
        <w:t>Thesis Parser (NLP extraction)</w:t>
      </w:r>
      <w:r>
        <w:br/>
        <w:t>↓</w:t>
      </w:r>
      <w:r>
        <w:br/>
        <w:t>Factor Identification</w:t>
      </w:r>
      <w:r>
        <w:br/>
        <w:t>↓</w:t>
      </w:r>
      <w:r>
        <w:br/>
      </w:r>
      <w:r>
        <w:lastRenderedPageBreak/>
        <w:t>Scenario Engine</w:t>
      </w:r>
      <w:r>
        <w:br/>
        <w:t>↓</w:t>
      </w:r>
      <w:r>
        <w:br/>
        <w:t>Portfolio Risk Analysis</w:t>
      </w:r>
      <w:r>
        <w:br/>
        <w:t>↓</w:t>
      </w:r>
      <w:r>
        <w:br/>
        <w:t>Governance Layer (Aureon)</w:t>
      </w:r>
    </w:p>
    <w:p w14:paraId="2F2F4BAB" w14:textId="77777777" w:rsidR="00B82DF7" w:rsidRDefault="00000000">
      <w:r>
        <w:t>The system would translate narrative statements from the thesis into measurable exposures such as:</w:t>
      </w:r>
    </w:p>
    <w:p w14:paraId="44769A51" w14:textId="77777777" w:rsidR="00B82DF7" w:rsidRDefault="00000000">
      <w:r>
        <w:t>- Interest rate sensitivity</w:t>
      </w:r>
      <w:r>
        <w:br/>
        <w:t>- Commodity exposure</w:t>
      </w:r>
      <w:r>
        <w:br/>
        <w:t>- FX exposure</w:t>
      </w:r>
      <w:r>
        <w:br/>
        <w:t>- Credit spread exposure</w:t>
      </w:r>
      <w:r>
        <w:br/>
        <w:t>- Liquidity risk</w:t>
      </w:r>
      <w:r>
        <w:br/>
        <w:t>- Macro regime dependencies</w:t>
      </w:r>
    </w:p>
    <w:p w14:paraId="150ADBF0" w14:textId="77777777" w:rsidR="00B82DF7" w:rsidRDefault="00000000">
      <w:r>
        <w:t>Once these drivers are extracted, the platform could run simulations across historical and hypothetical scenarios.</w:t>
      </w:r>
    </w:p>
    <w:p w14:paraId="5CA436BD" w14:textId="77777777" w:rsidR="00B82DF7" w:rsidRDefault="00000000">
      <w:pPr>
        <w:pStyle w:val="Heading2"/>
      </w:pPr>
      <w:r>
        <w:t>5. Example Outputs for Investment Committee</w:t>
      </w:r>
    </w:p>
    <w:p w14:paraId="22D4E57A" w14:textId="77777777" w:rsidR="00B82DF7" w:rsidRDefault="00000000">
      <w:r>
        <w:t>The platform could generate structured outputs for IC members, risk managers, and portfolio managers such as:</w:t>
      </w:r>
    </w:p>
    <w:p w14:paraId="5C74339D" w14:textId="77777777" w:rsidR="00B82DF7" w:rsidRDefault="00000000">
      <w:r>
        <w:t>- Expected return distribution</w:t>
      </w:r>
      <w:r>
        <w:br/>
        <w:t>- Tail risk exposure</w:t>
      </w:r>
      <w:r>
        <w:br/>
        <w:t>- Scenario‑based drawdown estimates</w:t>
      </w:r>
      <w:r>
        <w:br/>
        <w:t>- Liquidity stress outcomes</w:t>
      </w:r>
      <w:r>
        <w:br/>
        <w:t>- Factor correlation risks</w:t>
      </w:r>
      <w:r>
        <w:br/>
        <w:t>- Portfolio diversification impact</w:t>
      </w:r>
    </w:p>
    <w:p w14:paraId="70ECF403" w14:textId="77777777" w:rsidR="00B82DF7" w:rsidRDefault="00000000">
      <w:r>
        <w:t>Example scenario outputs:</w:t>
      </w:r>
    </w:p>
    <w:p w14:paraId="4D59F918" w14:textId="77777777" w:rsidR="00B82DF7" w:rsidRDefault="00000000">
      <w:r>
        <w:t>• 2008‑style credit crisis → Expected drawdown: –22%</w:t>
      </w:r>
      <w:r>
        <w:br/>
        <w:t>• Inflation shock → Expected return: +11%</w:t>
      </w:r>
      <w:r>
        <w:br/>
        <w:t>• Liquidity freeze → Exit probability: 40%</w:t>
      </w:r>
    </w:p>
    <w:p w14:paraId="0FB5FE0A" w14:textId="77777777" w:rsidR="00B82DF7" w:rsidRDefault="00000000">
      <w:r>
        <w:t>This converts qualitative conviction into quantitative insight.</w:t>
      </w:r>
    </w:p>
    <w:p w14:paraId="53DF83D3" w14:textId="77777777" w:rsidR="00B82DF7" w:rsidRDefault="00000000">
      <w:pPr>
        <w:pStyle w:val="Heading2"/>
      </w:pPr>
      <w:r>
        <w:t>6. Governance Implications</w:t>
      </w:r>
    </w:p>
    <w:p w14:paraId="40D1065A" w14:textId="77777777" w:rsidR="00B82DF7" w:rsidRDefault="00000000">
      <w:r>
        <w:t xml:space="preserve">Aureon should not replace human decision making. Instead, it should function as a human‑in‑the‑loop </w:t>
      </w:r>
      <w:r>
        <w:br/>
        <w:t>conviction engine.</w:t>
      </w:r>
    </w:p>
    <w:p w14:paraId="2DED7639" w14:textId="77777777" w:rsidR="00B82DF7" w:rsidRDefault="00000000">
      <w:r>
        <w:t>Workflow:</w:t>
      </w:r>
    </w:p>
    <w:p w14:paraId="09DD4625" w14:textId="77777777" w:rsidR="00B82DF7" w:rsidRDefault="00000000">
      <w:r>
        <w:lastRenderedPageBreak/>
        <w:t>Analyst Thesis</w:t>
      </w:r>
      <w:r>
        <w:br/>
        <w:t>↓</w:t>
      </w:r>
      <w:r>
        <w:br/>
        <w:t>Aureon Scenario Validation</w:t>
      </w:r>
      <w:r>
        <w:br/>
        <w:t>↓</w:t>
      </w:r>
      <w:r>
        <w:br/>
        <w:t>Risk Insights Generated</w:t>
      </w:r>
      <w:r>
        <w:br/>
        <w:t>↓</w:t>
      </w:r>
      <w:r>
        <w:br/>
        <w:t>Investment Committee Discussion</w:t>
      </w:r>
      <w:r>
        <w:br/>
        <w:t>↓</w:t>
      </w:r>
      <w:r>
        <w:br/>
        <w:t>Portfolio Manager Decision</w:t>
      </w:r>
    </w:p>
    <w:p w14:paraId="08D8C054" w14:textId="77777777" w:rsidR="00B82DF7" w:rsidRDefault="00000000">
      <w:r>
        <w:t>The objective is not automated trading but better informed decision making.</w:t>
      </w:r>
    </w:p>
    <w:p w14:paraId="7E57038B" w14:textId="77777777" w:rsidR="00B82DF7" w:rsidRDefault="00000000">
      <w:pPr>
        <w:pStyle w:val="Heading2"/>
      </w:pPr>
      <w:r>
        <w:t>7. Strategic Vision</w:t>
      </w:r>
    </w:p>
    <w:p w14:paraId="6B2FF211" w14:textId="77777777" w:rsidR="00B82DF7" w:rsidRDefault="00000000">
      <w:r>
        <w:t xml:space="preserve">If implemented successfully, Aureon could become a governance and conviction platform that bridges the gap </w:t>
      </w:r>
      <w:r>
        <w:br/>
        <w:t>between research narratives and portfolio risk models.</w:t>
      </w:r>
    </w:p>
    <w:p w14:paraId="296658B5" w14:textId="77777777" w:rsidR="00B82DF7" w:rsidRDefault="00000000">
      <w:r>
        <w:t>Conceptually it sits at the intersection of:</w:t>
      </w:r>
    </w:p>
    <w:p w14:paraId="5665EC32" w14:textId="77777777" w:rsidR="00B82DF7" w:rsidRDefault="00000000">
      <w:r>
        <w:t>• Institutional portfolio risk systems (e.g., Aladdin)</w:t>
      </w:r>
      <w:r>
        <w:br/>
        <w:t>• Data analysis platforms</w:t>
      </w:r>
      <w:r>
        <w:br/>
        <w:t>• Investment governance frameworks</w:t>
      </w:r>
    </w:p>
    <w:p w14:paraId="1F232F34" w14:textId="77777777" w:rsidR="00B82DF7" w:rsidRDefault="00000000">
      <w:r>
        <w:t xml:space="preserve">The thesis becomes executable logic, allowing institutions to evaluate ideas with structured, repeatable </w:t>
      </w:r>
      <w:r>
        <w:br/>
        <w:t>scenario analysis before capital is deployed.</w:t>
      </w:r>
    </w:p>
    <w:p w14:paraId="23D6AD18" w14:textId="77777777" w:rsidR="00B82DF7" w:rsidRDefault="00000000">
      <w:pPr>
        <w:pStyle w:val="Heading2"/>
      </w:pPr>
      <w:r>
        <w:t>Closing Reflection</w:t>
      </w:r>
    </w:p>
    <w:p w14:paraId="7DBB24F7" w14:textId="6377376B" w:rsidR="00B82DF7" w:rsidRDefault="00000000">
      <w:r>
        <w:t>The key lesson across both OPN TAINO and Aureon is that powerful systems execute the intent embedded in a foundational document.</w:t>
      </w:r>
    </w:p>
    <w:p w14:paraId="0F86213A" w14:textId="77777777" w:rsidR="00B82DF7" w:rsidRDefault="00000000">
      <w:r>
        <w:t>OPN TAINO → OPORD‑driven simulation</w:t>
      </w:r>
      <w:r>
        <w:br/>
        <w:t>Aureon → Thesis‑driven investment governance</w:t>
      </w:r>
    </w:p>
    <w:p w14:paraId="27B56D89" w14:textId="77777777" w:rsidR="00B82DF7" w:rsidRDefault="00000000">
      <w:r>
        <w:t>In both cases, the document becomes the program and the system becomes the interpreter.</w:t>
      </w:r>
    </w:p>
    <w:sectPr w:rsidR="00B82D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667861">
    <w:abstractNumId w:val="8"/>
  </w:num>
  <w:num w:numId="2" w16cid:durableId="445202345">
    <w:abstractNumId w:val="6"/>
  </w:num>
  <w:num w:numId="3" w16cid:durableId="615983045">
    <w:abstractNumId w:val="5"/>
  </w:num>
  <w:num w:numId="4" w16cid:durableId="1543253432">
    <w:abstractNumId w:val="4"/>
  </w:num>
  <w:num w:numId="5" w16cid:durableId="1136026325">
    <w:abstractNumId w:val="7"/>
  </w:num>
  <w:num w:numId="6" w16cid:durableId="1378899019">
    <w:abstractNumId w:val="3"/>
  </w:num>
  <w:num w:numId="7" w16cid:durableId="440030954">
    <w:abstractNumId w:val="2"/>
  </w:num>
  <w:num w:numId="8" w16cid:durableId="336811742">
    <w:abstractNumId w:val="1"/>
  </w:num>
  <w:num w:numId="9" w16cid:durableId="1516647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66AC8"/>
    <w:rsid w:val="00970E79"/>
    <w:rsid w:val="00AA1D8D"/>
    <w:rsid w:val="00B47730"/>
    <w:rsid w:val="00B82D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B1C0E8"/>
  <w14:defaultImageDpi w14:val="300"/>
  <w15:docId w15:val="{5B60B255-091D-DE42-930F-2697C796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556</Words>
  <Characters>3087</Characters>
  <Application>Microsoft Office Word</Application>
  <DocSecurity>0</DocSecurity>
  <Lines>83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Guillermo Ravelo</cp:lastModifiedBy>
  <cp:revision>2</cp:revision>
  <dcterms:created xsi:type="dcterms:W3CDTF">2026-03-13T13:25:00Z</dcterms:created>
  <dcterms:modified xsi:type="dcterms:W3CDTF">2026-03-13T13:25:00Z</dcterms:modified>
  <cp:category/>
</cp:coreProperties>
</file>