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aps/>
          <w:color w:val="B8972A"/>
          <w:sz w:val="16"/>
          <w:szCs w:val="16"/>
        </w:rPr>
        <w:t xml:space="preserve">AUREON EXECUTIVE BRIEF</w:t>
      </w:r>
    </w:p>
    <w:p>
      <w:pPr>
        <w:spacing w:after="60" w:before="0"/>
      </w:pPr>
      <w:r>
        <w:rPr>
          <w:rFonts w:ascii="Arial" w:cs="Arial" w:eastAsia="Arial" w:hAnsi="Arial"/>
          <w:b/>
          <w:bCs/>
          <w:color w:val="0D1F3C"/>
          <w:sz w:val="56"/>
          <w:szCs w:val="56"/>
        </w:rPr>
        <w:t xml:space="preserve">Project Aureon</w:t>
      </w:r>
    </w:p>
    <w:p>
      <w:pPr>
        <w:spacing w:after="160" w:before="0"/>
      </w:pPr>
      <w:r>
        <w:rPr>
          <w:rFonts w:ascii="Arial" w:cs="Arial" w:eastAsia="Arial" w:hAnsi="Arial"/>
          <w:b w:val="false"/>
          <w:bCs w:val="false"/>
          <w:color w:val="2C4A72"/>
          <w:sz w:val="36"/>
          <w:szCs w:val="36"/>
        </w:rPr>
        <w:t xml:space="preserve">The Grid 3</w:t>
      </w:r>
    </w:p>
    <w:p>
      <w:pPr>
        <w:spacing w:after="200" w:before="0"/>
      </w:pPr>
      <w:r>
        <w:rPr>
          <w:rFonts w:ascii="Arial" w:cs="Arial" w:eastAsia="Arial" w:hAnsi="Arial"/>
          <w:i w:val="false"/>
          <w:iCs w:val="false"/>
          <w:color w:val="4A5A6A"/>
          <w:sz w:val="22"/>
          <w:szCs w:val="22"/>
        </w:rPr>
        <w:t xml:space="preserve">Doctrine-governed AI-augmented financial operating system. Pre-trade governance, settlement intelligence, and human authority — built before the technology, so the technology is built to the doctrine.</w:t>
      </w:r>
    </w:p>
    <w:p>
      <w:pPr>
        <w:pBdr>
          <w:bottom w:val="single" w:color="B8972A"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Prepared by</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Guillermo “Bill” Ravelo · Ravelo Strategic Solutions LLC</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Academic</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Columbia University M.S. Technology Management</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Status</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Paper trading — approaching institutional testing. No real capital at risk.</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Version</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April 2026 · Doctrine v1.3 · Cato v0.2.2</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Live</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https://aureon-production.up.railway.app</w:t>
            </w:r>
          </w:p>
        </w:tc>
      </w:tr>
    </w:tbl>
    <w:p>
      <w:pPr>
        <w:spacing w:after="200" w:before="0"/>
      </w:pPr>
    </w:p>
    <w:p>
      <w:pPr>
        <w:spacing w:after="60" w:before="320"/>
      </w:pPr>
      <w:r>
        <w:rPr>
          <w:rFonts w:ascii="Arial" w:cs="Arial" w:eastAsia="Arial" w:hAnsi="Arial"/>
          <w:b/>
          <w:bCs/>
          <w:caps/>
          <w:color w:val="B8972A"/>
          <w:sz w:val="16"/>
          <w:szCs w:val="16"/>
        </w:rPr>
        <w:t xml:space="preserve">What It Is</w:t>
      </w:r>
    </w:p>
    <w:p>
      <w:pPr>
        <w:spacing w:after="80" w:before="280"/>
      </w:pPr>
      <w:r>
        <w:rPr>
          <w:rFonts w:ascii="Arial" w:cs="Arial" w:eastAsia="Arial" w:hAnsi="Arial"/>
          <w:b/>
          <w:bCs/>
          <w:color w:val="2C4A72"/>
          <w:sz w:val="28"/>
          <w:szCs w:val="28"/>
        </w:rPr>
        <w:t xml:space="preserve">Governance before execution. Every time.</w:t>
      </w:r>
    </w:p>
    <w:p>
      <w:pPr>
        <w:spacing w:after="100" w:before="0"/>
      </w:pPr>
      <w:r>
        <w:rPr>
          <w:rFonts w:ascii="Arial" w:cs="Arial" w:eastAsia="Arial" w:hAnsi="Arial"/>
          <w:color w:val="3A3A3A"/>
          <w:sz w:val="20"/>
          <w:szCs w:val="20"/>
        </w:rPr>
        <w:t xml:space="preserve">Aureon sits between signal generation and OMS/EMS execution infrastructure. Its role is to validate doctrine, risk, compliance, and human authority before a trade becomes a portfolio event. It is not a broker, an OMS, or a portfolio management replacement. It is the control layer that makes AI-assisted decisions explainable, reviewable, and auditable.</w:t>
      </w:r>
    </w:p>
    <w:p>
      <w:pPr>
        <w:spacing w:after="100" w:before="0"/>
      </w:pPr>
      <w:r>
        <w:rPr>
          <w:rFonts w:ascii="Arial" w:cs="Arial" w:eastAsia="Arial" w:hAnsi="Arial"/>
          <w:color w:val="3A3A3A"/>
          <w:sz w:val="20"/>
          <w:szCs w:val="20"/>
        </w:rPr>
        <w:t xml:space="preserve">Every decision carries an immutable audit lineage: signal origin, doctrine check, risk evaluation, compliance gate, human authority stamp, execution confirmation, and settlement evidence. The full lifecycle can be reconstructed on demand for any trade, at any granularity, within the 10-year retention window.</w:t>
      </w:r>
    </w:p>
    <w:p>
      <w:pPr>
        <w:spacing w:after="80" w:before="0"/>
      </w:pPr>
    </w:p>
    <w:p>
      <w:pPr>
        <w:spacing w:after="60" w:before="320"/>
      </w:pPr>
      <w:r>
        <w:rPr>
          <w:rFonts w:ascii="Arial" w:cs="Arial" w:eastAsia="Arial" w:hAnsi="Arial"/>
          <w:b/>
          <w:bCs/>
          <w:caps/>
          <w:color w:val="B8972A"/>
          <w:sz w:val="16"/>
          <w:szCs w:val="16"/>
        </w:rPr>
        <w:t xml:space="preserve">Why Now</w:t>
      </w:r>
    </w:p>
    <w:p>
      <w:pPr>
        <w:spacing w:after="80" w:before="280"/>
      </w:pPr>
      <w:r>
        <w:rPr>
          <w:rFonts w:ascii="Arial" w:cs="Arial" w:eastAsia="Arial" w:hAnsi="Arial"/>
          <w:b/>
          <w:bCs/>
          <w:color w:val="2C4A72"/>
          <w:sz w:val="28"/>
          <w:szCs w:val="28"/>
        </w:rPr>
        <w:t xml:space="preserve">AI is entering capital markets without governance frameworks.</w:t>
      </w:r>
    </w:p>
    <w:p>
      <w:pPr>
        <w:spacing w:after="100" w:before="0"/>
      </w:pPr>
      <w:r>
        <w:rPr>
          <w:rFonts w:ascii="Arial" w:cs="Arial" w:eastAsia="Arial" w:hAnsi="Arial"/>
          <w:color w:val="3A3A3A"/>
          <w:sz w:val="20"/>
          <w:szCs w:val="20"/>
        </w:rPr>
        <w:t xml:space="preserve">Tokenization, AI execution, and new payment rails are converging rapidly. BlackRock BUIDL is live on 9 chains with $2B+ AUM. Franklin Templeton BENJI on 10 chains. JPMorgan arranged the first on-chain commercial paper issuance on Solana in December 2025. The CFTC confirmed tokenized assets as eligible derivatives collateral in December 2025. The GENIUS Act is moving through the legislative pipeline.</w:t>
      </w:r>
    </w:p>
    <w:p>
      <w:pPr>
        <w:spacing w:after="100" w:before="0"/>
      </w:pPr>
      <w:r>
        <w:rPr>
          <w:rFonts w:ascii="Arial" w:cs="Arial" w:eastAsia="Arial" w:hAnsi="Arial"/>
          <w:color w:val="3A3A3A"/>
          <w:sz w:val="20"/>
          <w:szCs w:val="20"/>
        </w:rPr>
        <w:t xml:space="preserve">None of the live institutional products has publicly documented a complete governance model — continuous compliance surveillance, human-in-the-loop gate framework, and an immutable audit chain — that a trustee, a rating agency, or a regulator can actually rely on. That is the gap Aureon addresses. The tokenized settlement market is at $12.88B and accelerating. The governance layer is not commoditized.</w:t>
      </w:r>
    </w:p>
    <w:p>
      <w:pPr>
        <w:spacing w:after="80" w:before="0"/>
      </w:pPr>
    </w:p>
    <w:p>
      <w:pPr>
        <w:spacing w:after="60" w:before="320"/>
      </w:pPr>
      <w:r>
        <w:rPr>
          <w:rFonts w:ascii="Arial" w:cs="Arial" w:eastAsia="Arial" w:hAnsi="Arial"/>
          <w:b/>
          <w:bCs/>
          <w:caps/>
          <w:color w:val="B8972A"/>
          <w:sz w:val="16"/>
          <w:szCs w:val="16"/>
        </w:rPr>
        <w:t xml:space="preserve">Architecture</w:t>
      </w:r>
    </w:p>
    <w:p>
      <w:pPr>
        <w:spacing w:after="80" w:before="280"/>
      </w:pPr>
      <w:r>
        <w:rPr>
          <w:rFonts w:ascii="Arial" w:cs="Arial" w:eastAsia="Arial" w:hAnsi="Arial"/>
          <w:b/>
          <w:bCs/>
          <w:color w:val="2C4A72"/>
          <w:sz w:val="28"/>
          <w:szCs w:val="28"/>
        </w:rPr>
        <w:t xml:space="preserve">Six-layer doctrine stack. Doctrine at every altitude.</w:t>
      </w:r>
    </w:p>
    <w:p>
      <w:pPr>
        <w:spacing w:after="100" w:before="0"/>
      </w:pPr>
      <w:r>
        <w:rPr>
          <w:rFonts w:ascii="Arial" w:cs="Arial" w:eastAsia="Arial" w:hAnsi="Arial"/>
          <w:color w:val="3A3A3A"/>
          <w:sz w:val="20"/>
          <w:szCs w:val="20"/>
        </w:rPr>
        <w:t xml:space="preserve">The stack is not a pipeline. Each layer holds doctrine authority for its domain. Agents advise. The operator decides. Nothing executes without governed approval.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44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Altitude</w:t>
            </w:r>
          </w:p>
        </w:tc>
        <w:tc>
          <w:tcPr>
            <w:tcW w:type="dxa" w:w="648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144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Neptune Spear</w:t>
            </w:r>
          </w:p>
        </w:tc>
        <w:tc>
          <w:tcPr>
            <w:tcW w:type="dxa" w:w="144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50,000 ft</w:t>
            </w:r>
          </w:p>
        </w:tc>
        <w:tc>
          <w:tcPr>
            <w:tcW w:type="dxa" w:w="648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Alpha origination — advisory only, never executes. Cato lives here as the Verana L0 settlement gate.</w:t>
            </w:r>
          </w:p>
        </w:tc>
      </w:tr>
      <w:tr>
        <w:tc>
          <w:tcPr>
            <w:tcW w:type="dxa" w:w="14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Mentat</w:t>
            </w:r>
          </w:p>
        </w:tc>
        <w:tc>
          <w:tcPr>
            <w:tcW w:type="dxa" w:w="14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30,000 ft</w:t>
            </w:r>
          </w:p>
        </w:tc>
        <w:tc>
          <w:tcPr>
            <w:tcW w:type="dxa" w:w="648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Decision intelligence, scenario support, doctrine truth evaluation.</w:t>
            </w:r>
          </w:p>
        </w:tc>
      </w:tr>
      <w:tr>
        <w:tc>
          <w:tcPr>
            <w:tcW w:type="dxa" w:w="144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Kaladan</w:t>
            </w:r>
          </w:p>
        </w:tc>
        <w:tc>
          <w:tcPr>
            <w:tcW w:type="dxa" w:w="144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10,000 ft</w:t>
            </w:r>
          </w:p>
        </w:tc>
        <w:tc>
          <w:tcPr>
            <w:tcW w:type="dxa" w:w="648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Lifecycle orchestration — routing, treasury, settlement, compliance artifacts.</w:t>
            </w:r>
          </w:p>
        </w:tc>
      </w:tr>
      <w:tr>
        <w:tc>
          <w:tcPr>
            <w:tcW w:type="dxa" w:w="14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Thifur-C2</w:t>
            </w:r>
          </w:p>
        </w:tc>
        <w:tc>
          <w:tcPr>
            <w:tcW w:type="dxa" w:w="14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1,000 ft</w:t>
            </w:r>
          </w:p>
        </w:tc>
        <w:tc>
          <w:tcPr>
            <w:tcW w:type="dxa" w:w="648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Command &amp; Control coordination, lineage assembly, unified risk picture.</w:t>
            </w:r>
          </w:p>
        </w:tc>
      </w:tr>
      <w:tr>
        <w:tc>
          <w:tcPr>
            <w:tcW w:type="dxa" w:w="144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Thifur R/J/H</w:t>
            </w:r>
          </w:p>
        </w:tc>
        <w:tc>
          <w:tcPr>
            <w:tcW w:type="dxa" w:w="144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500 ft</w:t>
            </w:r>
          </w:p>
        </w:tc>
        <w:tc>
          <w:tcPr>
            <w:tcW w:type="dxa" w:w="648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R: deterministic execution. J: bounded autonomy. H: adaptive — declared, not yet activated.</w:t>
            </w:r>
          </w:p>
        </w:tc>
      </w:tr>
      <w:tr>
        <w:tc>
          <w:tcPr>
            <w:tcW w:type="dxa" w:w="14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Verana L0</w:t>
            </w:r>
          </w:p>
        </w:tc>
        <w:tc>
          <w:tcPr>
            <w:tcW w:type="dxa" w:w="14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Ground</w:t>
            </w:r>
          </w:p>
        </w:tc>
        <w:tc>
          <w:tcPr>
            <w:tcW w:type="dxa" w:w="648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Network registry, compliance enforcement, MCP server, session control, Cato doctrine gate.</w:t>
            </w:r>
          </w:p>
        </w:tc>
      </w:tr>
    </w:tbl>
    <w:p>
      <w:pPr>
        <w:spacing w:after="80" w:before="0"/>
      </w:pPr>
    </w:p>
    <w:p>
      <w:pPr>
        <w:spacing w:after="60" w:before="320"/>
      </w:pPr>
      <w:r>
        <w:rPr>
          <w:rFonts w:ascii="Arial" w:cs="Arial" w:eastAsia="Arial" w:hAnsi="Arial"/>
          <w:b/>
          <w:bCs/>
          <w:caps/>
          <w:color w:val="B8972A"/>
          <w:sz w:val="16"/>
          <w:szCs w:val="16"/>
        </w:rPr>
        <w:t xml:space="preserve">Governance Framework</w:t>
      </w:r>
    </w:p>
    <w:p>
      <w:pPr>
        <w:spacing w:after="80" w:before="280"/>
      </w:pPr>
      <w:r>
        <w:rPr>
          <w:rFonts w:ascii="Arial" w:cs="Arial" w:eastAsia="Arial" w:hAnsi="Arial"/>
          <w:b/>
          <w:bCs/>
          <w:color w:val="2C4A72"/>
          <w:sz w:val="28"/>
          <w:szCs w:val="28"/>
        </w:rPr>
        <w:t xml:space="preserve">CAOM-001 — Consolidated Authority Operating Mode</w:t>
      </w:r>
    </w:p>
    <w:p>
      <w:pPr>
        <w:spacing w:after="100" w:before="0"/>
      </w:pPr>
      <w:r>
        <w:rPr>
          <w:rFonts w:ascii="Arial" w:cs="Arial" w:eastAsia="Arial" w:hAnsi="Arial"/>
          <w:color w:val="3A3A3A"/>
          <w:sz w:val="20"/>
          <w:szCs w:val="20"/>
        </w:rPr>
        <w:t xml:space="preserve">Aureon was originally architected for a multi-role institutional environment. CAOM-001 (effective April 6, 2026) formally maps all three human authority tiers — Operational, Governance, and Executive — to a single operator for the one-man shop proof-of-concept phase. Gates still fire on every decision. The operator’s identity satisfies each gate. No agent substitutes for human authority at any tier.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Operator</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Guillermo Ravelo · Ravelo Strategic Solutions LLC · GR-001</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Tiers held</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Tier 1 (Operational) · Tier 2 (Governance) · Tier 3 (Executive)</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Agents</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Advisory only — Mentat, Kaladan, Neptune Spear, Thifur C2/R/J surface analysis. Operator decides.</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Transition</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CAOM ends when AUM exceeds $10M, external capital onboards, or institutional staff is hired.</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DSOR</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Every decision is Decision System of Record stamped: lineage, authority hash, doctrine version, timestamp.</w:t>
            </w:r>
          </w:p>
        </w:tc>
      </w:tr>
    </w:tbl>
    <w:p>
      <w:pPr>
        <w:spacing w:after="80" w:before="0"/>
      </w:pPr>
    </w:p>
    <w:p>
      <w:pPr>
        <w:spacing w:after="60" w:before="320"/>
      </w:pPr>
      <w:r>
        <w:rPr>
          <w:rFonts w:ascii="Arial" w:cs="Arial" w:eastAsia="Arial" w:hAnsi="Arial"/>
          <w:b/>
          <w:bCs/>
          <w:caps/>
          <w:color w:val="B8972A"/>
          <w:sz w:val="16"/>
          <w:szCs w:val="16"/>
        </w:rPr>
        <w:t xml:space="preserve">Live Proof Point — Neptune Spear / Verana L0</w:t>
      </w:r>
    </w:p>
    <w:p>
      <w:pPr>
        <w:spacing w:after="80" w:before="280"/>
      </w:pPr>
      <w:r>
        <w:rPr>
          <w:rFonts w:ascii="Arial" w:cs="Arial" w:eastAsia="Arial" w:hAnsi="Arial"/>
          <w:b/>
          <w:bCs/>
          <w:color w:val="2C4A72"/>
          <w:sz w:val="28"/>
          <w:szCs w:val="28"/>
        </w:rPr>
        <w:t xml:space="preserve">Cato — Tokenized Settlement Doctrine Gate</w:t>
      </w:r>
    </w:p>
    <w:p>
      <w:pPr>
        <w:spacing w:after="100" w:before="0"/>
      </w:pPr>
      <w:r>
        <w:rPr>
          <w:rFonts w:ascii="Arial" w:cs="Arial" w:eastAsia="Arial" w:hAnsi="Arial"/>
          <w:color w:val="3A3A3A"/>
          <w:sz w:val="20"/>
          <w:szCs w:val="20"/>
        </w:rPr>
        <w:t xml:space="preserve">Cato is the Verana L0 pre-settlement doctrine gate for tokenized institutional repo. It answers one question before every settlement: is atomic on-chain DvP (Delivery versus Payment) viable right now, or should this trade route to FICC? The gate runs four deterministic checks and emits PROCEED / HOLD / ESCALATE plus a recommended settlement rail.</w:t>
      </w:r>
    </w:p>
    <w:p>
      <w:pPr>
        <w:spacing w:after="100" w:before="0"/>
      </w:pPr>
      <w:r>
        <w:rPr>
          <w:rFonts w:ascii="Arial" w:cs="Arial" w:eastAsia="Arial" w:hAnsi="Arial"/>
          <w:color w:val="3A3A3A"/>
          <w:sz w:val="20"/>
          <w:szCs w:val="20"/>
        </w:rPr>
        <w:t xml:space="preserve">Cato exists in two implementations that must produce bit-for-bit identical decisions for identical inputs: an external open-source MCP server (Node.js, MIT license, 23 tools) and an in-process Python twin inside Aureon. The deterministic parity is what lets regulators trust the gate regardless of caller. Both are at doctrine version 0.2.2.</w:t>
      </w:r>
    </w:p>
    <w:p>
      <w:pPr>
        <w:spacing w:after="40" w:before="0"/>
      </w:pPr>
    </w:p>
    <w:p>
      <w:pPr>
        <w:spacing w:after="60" w:before="200"/>
      </w:pPr>
      <w:r>
        <w:rPr>
          <w:rFonts w:ascii="Arial" w:cs="Arial" w:eastAsia="Arial" w:hAnsi="Arial"/>
          <w:b/>
          <w:bCs/>
          <w:color w:val="0D1F3C"/>
          <w:sz w:val="22"/>
          <w:szCs w:val="22"/>
        </w:rPr>
        <w:t xml:space="preserve">Doctrine Thresholds (v0.2.2)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440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276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OFR STLFSI4</w:t>
            </w:r>
          </w:p>
        </w:tc>
        <w:tc>
          <w:tcPr>
            <w:tcW w:type="dxa" w:w="4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&gt; 1.0</w:t>
            </w:r>
          </w:p>
        </w:tc>
        <w:tc>
          <w:tcPr>
            <w:tcW w:type="dxa" w:w="2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ESCALATE — systemic stress, route to human authority</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OFR STLFSI4</w:t>
            </w:r>
          </w:p>
        </w:tc>
        <w:tc>
          <w:tcPr>
            <w:tcW w:type="dxa" w:w="4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&gt; 0.5</w:t>
            </w:r>
          </w:p>
        </w:tc>
        <w:tc>
          <w:tcPr>
            <w:tcW w:type="dxa" w:w="2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HOLD — broad stress, route to FICC traditional</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ETH L1 gas</w:t>
            </w:r>
          </w:p>
        </w:tc>
        <w:tc>
          <w:tcPr>
            <w:tcW w:type="dxa" w:w="4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&gt; 50 gwei</w:t>
            </w:r>
          </w:p>
        </w:tc>
        <w:tc>
          <w:tcPr>
            <w:tcW w:type="dxa" w:w="2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HOLD — L1 congestion, route to FICC traditional</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|SOFR(t) − SOFR(t−1)| × 100</w:t>
            </w:r>
          </w:p>
        </w:tc>
        <w:tc>
          <w:tcPr>
            <w:tcW w:type="dxa" w:w="4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&gt; 10 bps</w:t>
            </w:r>
          </w:p>
        </w:tc>
        <w:tc>
          <w:tcPr>
            <w:tcW w:type="dxa" w:w="2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HOLD — funding-market shock (v0.2.2, Sept 2019 backtest fix)</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All below threshold</w:t>
            </w:r>
          </w:p>
        </w:tc>
        <w:tc>
          <w:tcPr>
            <w:tcW w:type="dxa" w:w="44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w:t>
            </w:r>
          </w:p>
        </w:tc>
        <w:tc>
          <w:tcPr>
            <w:tcW w:type="dxa" w:w="27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PROCEED — atomic settlement viable</w:t>
            </w:r>
          </w:p>
        </w:tc>
      </w:tr>
    </w:tbl>
    <w:p>
      <w:pPr>
        <w:spacing w:after="80" w:before="0"/>
      </w:pPr>
    </w:p>
    <w:p>
      <w:pPr>
        <w:spacing w:after="60" w:before="200"/>
      </w:pPr>
      <w:r>
        <w:rPr>
          <w:rFonts w:ascii="Arial" w:cs="Arial" w:eastAsia="Arial" w:hAnsi="Arial"/>
          <w:b/>
          <w:bCs/>
          <w:color w:val="0D1F3C"/>
          <w:sz w:val="22"/>
          <w:szCs w:val="22"/>
        </w:rPr>
        <w:t xml:space="preserve">Supported Settlement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000"/>
        <w:gridCol w:w="1860"/>
      </w:tblGrid>
      <w:tr>
        <w:tc>
          <w:tcPr>
            <w:tcW w:type="dxa" w:w="2000"/>
            <w:tcBorders>
              <w:top w:val="single" w:color="D0D8E4" w:sz="1"/>
              <w:left w:val="single" w:color="D0D8E4" w:sz="1"/>
              <w:bottom w:val="single" w:color="D0D8E4" w:sz="1"/>
              <w:right w:val="single" w:color="D0D8E4" w:sz="1"/>
            </w:tcBorders>
            <w:shd w:fill="2C4A72" w:val="clear"/>
            <w:tcMar>
              <w:top w:type="dxa" w:w="80"/>
              <w:left w:type="dxa" w:w="120"/>
              <w:bottom w:type="dxa" w:w="80"/>
              <w:right w:type="dxa" w:w="120"/>
            </w:tcMar>
          </w:tcPr>
          <w:p>
            <w:r>
              <w:rPr>
                <w:rFonts w:ascii="Arial" w:cs="Arial" w:eastAsia="Arial" w:hAnsi="Arial"/>
                <w:b/>
                <w:bCs/>
                <w:color w:val="FFFFFF"/>
                <w:sz w:val="18"/>
                <w:szCs w:val="18"/>
              </w:rPr>
              <w:t xml:space="preserve">Rail</w:t>
            </w:r>
          </w:p>
        </w:tc>
        <w:tc>
          <w:tcPr>
            <w:tcW w:type="dxa" w:w="1500"/>
            <w:tcBorders>
              <w:top w:val="single" w:color="D0D8E4" w:sz="1"/>
              <w:left w:val="single" w:color="D0D8E4" w:sz="1"/>
              <w:bottom w:val="single" w:color="D0D8E4" w:sz="1"/>
              <w:right w:val="single" w:color="D0D8E4" w:sz="1"/>
            </w:tcBorders>
            <w:shd w:fill="2C4A72"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4000"/>
            <w:tcBorders>
              <w:top w:val="single" w:color="D0D8E4" w:sz="1"/>
              <w:left w:val="single" w:color="D0D8E4" w:sz="1"/>
              <w:bottom w:val="single" w:color="D0D8E4" w:sz="1"/>
              <w:right w:val="single" w:color="D0D8E4" w:sz="1"/>
            </w:tcBorders>
            <w:shd w:fill="2C4A72" w:val="clear"/>
            <w:tcMar>
              <w:top w:type="dxa" w:w="80"/>
              <w:left w:type="dxa" w:w="120"/>
              <w:bottom w:type="dxa" w:w="80"/>
              <w:right w:type="dxa" w:w="120"/>
            </w:tcMar>
          </w:tcPr>
          <w:p>
            <w:r>
              <w:rPr>
                <w:rFonts w:ascii="Arial" w:cs="Arial" w:eastAsia="Arial" w:hAnsi="Arial"/>
                <w:b/>
                <w:bCs/>
                <w:color w:val="FFFFFF"/>
                <w:sz w:val="18"/>
                <w:szCs w:val="18"/>
              </w:rPr>
              <w:t xml:space="preserve">Cost (normal state)</w:t>
            </w:r>
          </w:p>
        </w:tc>
        <w:tc>
          <w:tcPr>
            <w:tcW w:type="dxa" w:w="1860"/>
            <w:tcBorders>
              <w:top w:val="single" w:color="D0D8E4" w:sz="1"/>
              <w:left w:val="single" w:color="D0D8E4" w:sz="1"/>
              <w:bottom w:val="single" w:color="D0D8E4" w:sz="1"/>
              <w:right w:val="single" w:color="D0D8E4" w:sz="1"/>
            </w:tcBorders>
            <w:shd w:fill="2C4A72"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FICC traditional</w:t>
            </w:r>
          </w:p>
        </w:tc>
        <w:tc>
          <w:tcPr>
            <w:tcW w:type="dxa" w:w="15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T+1</w:t>
            </w:r>
          </w:p>
        </w:tc>
        <w:tc>
          <w:tcPr>
            <w:tcW w:type="dxa" w:w="4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~0.5 bps clearing fee net of 40% netting + SOFR cost of capital</w:t>
            </w:r>
          </w:p>
        </w:tc>
        <w:tc>
          <w:tcPr>
            <w:tcW w:type="dxa" w:w="18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Live</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Ethereum L1</w:t>
            </w:r>
          </w:p>
        </w:tc>
        <w:tc>
          <w:tcPr>
            <w:tcW w:type="dxa" w:w="15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~12s</w:t>
            </w:r>
          </w:p>
        </w:tc>
        <w:tc>
          <w:tcPr>
            <w:tcW w:type="dxa" w:w="4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~$0.08 / settlement at 0.5 gwei, $2,300 ETH</w:t>
            </w:r>
          </w:p>
        </w:tc>
        <w:tc>
          <w:tcPr>
            <w:tcW w:type="dxa" w:w="1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Live</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Base (Ethereum L2)</w:t>
            </w:r>
          </w:p>
        </w:tc>
        <w:tc>
          <w:tcPr>
            <w:tcW w:type="dxa" w:w="15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~2s</w:t>
            </w:r>
          </w:p>
        </w:tc>
        <w:tc>
          <w:tcPr>
            <w:tcW w:type="dxa" w:w="4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~$0.001 / settlement at 0.01 gwei</w:t>
            </w:r>
          </w:p>
        </w:tc>
        <w:tc>
          <w:tcPr>
            <w:tcW w:type="dxa" w:w="18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Live</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Arbitrum (L2)</w:t>
            </w:r>
          </w:p>
        </w:tc>
        <w:tc>
          <w:tcPr>
            <w:tcW w:type="dxa" w:w="15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~2s</w:t>
            </w:r>
          </w:p>
        </w:tc>
        <w:tc>
          <w:tcPr>
            <w:tcW w:type="dxa" w:w="4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~$0.10 / settlement at 0.6 gwei</w:t>
            </w:r>
          </w:p>
        </w:tc>
        <w:tc>
          <w:tcPr>
            <w:tcW w:type="dxa" w:w="1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Live</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Solana</w:t>
            </w:r>
          </w:p>
        </w:tc>
        <w:tc>
          <w:tcPr>
            <w:tcW w:type="dxa" w:w="15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~400ms</w:t>
            </w:r>
          </w:p>
        </w:tc>
        <w:tc>
          <w:tcPr>
            <w:tcW w:type="dxa" w:w="40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~$0.0004 / settlement at 5,000 lamports</w:t>
            </w:r>
          </w:p>
        </w:tc>
        <w:tc>
          <w:tcPr>
            <w:tcW w:type="dxa" w:w="186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Live</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Fed L1 / PORTS</w:t>
            </w:r>
          </w:p>
        </w:tc>
        <w:tc>
          <w:tcPr>
            <w:tcW w:type="dxa" w:w="15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Instant</w:t>
            </w:r>
          </w:p>
        </w:tc>
        <w:tc>
          <w:tcPr>
            <w:tcW w:type="dxa" w:w="4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TBD — sovereign tokenized reserve rail</w:t>
            </w:r>
          </w:p>
        </w:tc>
        <w:tc>
          <w:tcPr>
            <w:tcW w:type="dxa" w:w="1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Pending GENIUS Act</w:t>
            </w:r>
          </w:p>
        </w:tc>
      </w:tr>
    </w:tbl>
    <w:p>
      <w:pPr>
        <w:spacing w:after="40" w:before="0"/>
      </w:pPr>
    </w:p>
    <w:p>
      <w:pPr>
        <w:spacing w:after="100" w:before="0"/>
      </w:pPr>
      <w:r>
        <w:rPr>
          <w:rFonts w:ascii="Arial" w:cs="Arial" w:eastAsia="Arial" w:hAnsi="Arial"/>
          <w:i/>
          <w:iCs/>
          <w:color w:val="5A6A7A"/>
          <w:sz w:val="20"/>
          <w:szCs w:val="20"/>
        </w:rPr>
        <w:t xml:space="preserve">The governance gate — not the rail — is the product. When the Fed issues tokenized reserves or PORTS ships, Cato routes there. The doctrine doesn’t change. The rail does.</w:t>
      </w:r>
    </w:p>
    <w:p>
      <w:pPr>
        <w:spacing w:after="80" w:before="0"/>
      </w:pPr>
    </w:p>
    <w:p>
      <w:pPr>
        <w:spacing w:after="60" w:before="320"/>
      </w:pPr>
      <w:r>
        <w:rPr>
          <w:rFonts w:ascii="Arial" w:cs="Arial" w:eastAsia="Arial" w:hAnsi="Arial"/>
          <w:b/>
          <w:bCs/>
          <w:caps/>
          <w:color w:val="B8972A"/>
          <w:sz w:val="16"/>
          <w:szCs w:val="16"/>
        </w:rPr>
        <w:t xml:space="preserve">Validation</w:t>
      </w:r>
    </w:p>
    <w:p>
      <w:pPr>
        <w:spacing w:after="80" w:before="280"/>
      </w:pPr>
      <w:r>
        <w:rPr>
          <w:rFonts w:ascii="Arial" w:cs="Arial" w:eastAsia="Arial" w:hAnsi="Arial"/>
          <w:b/>
          <w:bCs/>
          <w:color w:val="2C4A72"/>
          <w:sz w:val="28"/>
          <w:szCs w:val="28"/>
        </w:rPr>
        <w:t xml:space="preserve">SR 11-7 Tier 1 Historical Backtest</w:t>
      </w:r>
    </w:p>
    <w:p>
      <w:pPr>
        <w:spacing w:after="100" w:before="0"/>
      </w:pPr>
      <w:r>
        <w:rPr>
          <w:rFonts w:ascii="Arial" w:cs="Arial" w:eastAsia="Arial" w:hAnsi="Arial"/>
          <w:color w:val="3A3A3A"/>
          <w:sz w:val="20"/>
          <w:szCs w:val="20"/>
        </w:rPr>
        <w:t xml:space="preserve">Cato v0.2.2 was validated against three canonical stress events using daily SOFR and weekly OFR STLFSI4 from FRED. The backtest is deterministic and fully reproducible.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1520"/>
        <w:gridCol w:w="3520"/>
      </w:tblGrid>
      <w:tr>
        <w:tc>
          <w:tcPr>
            <w:tcW w:type="dxa" w:w="280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152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v0.2.1</w:t>
            </w:r>
          </w:p>
        </w:tc>
        <w:tc>
          <w:tcPr>
            <w:tcW w:type="dxa" w:w="152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v0.2.2</w:t>
            </w:r>
          </w:p>
        </w:tc>
        <w:tc>
          <w:tcPr>
            <w:tcW w:type="dxa" w:w="3520"/>
            <w:tcBorders>
              <w:top w:val="single" w:color="D0D8E4" w:sz="1"/>
              <w:left w:val="single" w:color="D0D8E4" w:sz="1"/>
              <w:bottom w:val="single" w:color="D0D8E4" w:sz="1"/>
              <w:right w:val="single" w:color="D0D8E4"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2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March 2020 — COVID repo freeze</w:t>
            </w:r>
          </w:p>
        </w:tc>
        <w:tc>
          <w:tcPr>
            <w:tcW w:type="dxa" w:w="152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100% (20/20)</w:t>
            </w:r>
          </w:p>
        </w:tc>
        <w:tc>
          <w:tcPr>
            <w:tcW w:type="dxa" w:w="152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100% (20/20)</w:t>
            </w:r>
          </w:p>
        </w:tc>
        <w:tc>
          <w:tcPr>
            <w:tcW w:type="dxa" w:w="352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 Caught — OFR peak 5.657, SOFR Δ 84 bps</w:t>
            </w:r>
          </w:p>
        </w:tc>
      </w:tr>
      <w:tr>
        <w:tc>
          <w:tcPr>
            <w:tcW w:type="dxa" w:w="2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September 2019 — repo spike</w:t>
            </w:r>
          </w:p>
        </w:tc>
        <w:tc>
          <w:tcPr>
            <w:tcW w:type="dxa" w:w="152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0% (0/5)</w:t>
            </w:r>
          </w:p>
        </w:tc>
        <w:tc>
          <w:tcPr>
            <w:tcW w:type="dxa" w:w="152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80% (4/5)</w:t>
            </w:r>
          </w:p>
        </w:tc>
        <w:tc>
          <w:tcPr>
            <w:tcW w:type="dxa" w:w="352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A3A3A"/>
                <w:sz w:val="18"/>
                <w:szCs w:val="18"/>
              </w:rPr>
              <w:t xml:space="preserve">✓ Caught after v0.2.2 fix — pure funding-market crunch, OFR FSI negative</w:t>
            </w:r>
          </w:p>
        </w:tc>
      </w:tr>
      <w:tr>
        <w:tc>
          <w:tcPr>
            <w:tcW w:type="dxa" w:w="280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March 2023 — SVB collapse</w:t>
            </w:r>
          </w:p>
        </w:tc>
        <w:tc>
          <w:tcPr>
            <w:tcW w:type="dxa" w:w="152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45.5% (5/11)</w:t>
            </w:r>
          </w:p>
        </w:tc>
        <w:tc>
          <w:tcPr>
            <w:tcW w:type="dxa" w:w="152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45.5% (5/11)</w:t>
            </w:r>
          </w:p>
        </w:tc>
        <w:tc>
          <w:tcPr>
            <w:tcW w:type="dxa" w:w="3520"/>
            <w:tcBorders>
              <w:top w:val="single" w:color="D0D8E4" w:sz="1"/>
              <w:left w:val="single" w:color="D0D8E4" w:sz="1"/>
              <w:bottom w:val="single" w:color="D0D8E4" w:sz="1"/>
              <w:right w:val="single" w:color="D0D8E4" w:sz="1"/>
            </w:tcBorders>
            <w:shd w:fill="F4F6F9" w:val="clear"/>
            <w:tcMar>
              <w:top w:type="dxa" w:w="80"/>
              <w:left w:type="dxa" w:w="120"/>
              <w:bottom w:type="dxa" w:w="80"/>
              <w:right w:type="dxa" w:w="120"/>
            </w:tcMar>
          </w:tcPr>
          <w:p>
            <w:r>
              <w:rPr>
                <w:rFonts w:ascii="Arial" w:cs="Arial" w:eastAsia="Arial" w:hAnsi="Arial"/>
                <w:color w:val="3A3A3A"/>
                <w:sz w:val="18"/>
                <w:szCs w:val="18"/>
              </w:rPr>
              <w:t xml:space="preserve">! Calibration limit — slow-moving credit event, not captured by rate/stress signals</w:t>
            </w:r>
          </w:p>
        </w:tc>
      </w:tr>
    </w:tbl>
    <w:p>
      <w:pPr>
        <w:spacing w:after="40" w:before="0"/>
      </w:pPr>
    </w:p>
    <w:p>
      <w:pPr>
        <w:spacing w:after="100" w:before="0"/>
      </w:pPr>
      <w:r>
        <w:rPr>
          <w:rFonts w:ascii="Arial" w:cs="Arial" w:eastAsia="Arial" w:hAnsi="Arial"/>
          <w:color w:val="3A3A3A"/>
          <w:sz w:val="20"/>
          <w:szCs w:val="20"/>
        </w:rPr>
        <w:t xml:space="preserve">The September 2019 gap — SOFR moved 282 bps while OFR FSI was negative — was closed in v0.2.2 by restoring the SOFR 1-day delta trigger dropped in the v0.2.0 refactor. SVB is a documented calibration limitation: it requires counterparty-credit signals (HY OAS, bank equity) not currently in the doctrine. Cato is a market-regime gate, not a counterparty-credit gate. That is an explicit design choice, not a gap.</w:t>
      </w:r>
    </w:p>
    <w:p>
      <w:pPr>
        <w:spacing w:after="80" w:before="0"/>
      </w:pPr>
    </w:p>
    <w:p>
      <w:pPr>
        <w:spacing w:after="60" w:before="320"/>
      </w:pPr>
      <w:r>
        <w:rPr>
          <w:rFonts w:ascii="Arial" w:cs="Arial" w:eastAsia="Arial" w:hAnsi="Arial"/>
          <w:b/>
          <w:bCs/>
          <w:caps/>
          <w:color w:val="B8972A"/>
          <w:sz w:val="16"/>
          <w:szCs w:val="16"/>
        </w:rPr>
        <w:t xml:space="preserve">Commercial Framing</w:t>
      </w:r>
    </w:p>
    <w:p>
      <w:pPr>
        <w:spacing w:after="80" w:before="280"/>
      </w:pPr>
      <w:r>
        <w:rPr>
          <w:rFonts w:ascii="Arial" w:cs="Arial" w:eastAsia="Arial" w:hAnsi="Arial"/>
          <w:b/>
          <w:bCs/>
          <w:color w:val="2C4A72"/>
          <w:sz w:val="28"/>
          <w:szCs w:val="28"/>
        </w:rPr>
        <w:t xml:space="preserve">Three deployment modes. One unifying thesis.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Governance overlay</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Drop Aureon above existing OMS infrastructure. Pre-trade gates, compliance surfaces, and DSOR audit artifacts without replacing execution infrastructure.</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Full-stack OS</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Greenfield deployment of the complete doctrine stack — signal origination through settlement — for a fund or desk building from scratch.</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B8972A"/>
                <w:sz w:val="18"/>
                <w:szCs w:val="18"/>
              </w:rPr>
              <w:t xml:space="preserve">Compliance layer</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A3A3A"/>
                <w:sz w:val="18"/>
                <w:szCs w:val="18"/>
              </w:rPr>
              <w:t xml:space="preserve">Aureon as a structured audit-artifact engine: every decision returns a replayable governance package for regulatory submission.</w:t>
            </w:r>
          </w:p>
        </w:tc>
      </w:tr>
    </w:tbl>
    <w:p>
      <w:pPr>
        <w:spacing w:after="80" w:before="0"/>
      </w:pPr>
    </w:p>
    <w:p>
      <w:pPr>
        <w:spacing w:after="60" w:before="320"/>
      </w:pPr>
      <w:r>
        <w:rPr>
          <w:rFonts w:ascii="Arial" w:cs="Arial" w:eastAsia="Arial" w:hAnsi="Arial"/>
          <w:b/>
          <w:bCs/>
          <w:caps/>
          <w:color w:val="B8972A"/>
          <w:sz w:val="16"/>
          <w:szCs w:val="16"/>
        </w:rPr>
        <w:t xml:space="preserve">Why It Resonates</w:t>
      </w:r>
    </w:p>
    <w:p>
      <w:pPr>
        <w:spacing w:after="80" w:before="280"/>
      </w:pPr>
      <w:r>
        <w:rPr>
          <w:rFonts w:ascii="Arial" w:cs="Arial" w:eastAsia="Arial" w:hAnsi="Arial"/>
          <w:b/>
          <w:bCs/>
          <w:color w:val="2C4A72"/>
          <w:sz w:val="28"/>
          <w:szCs w:val="28"/>
        </w:rPr>
        <w:t xml:space="preserve">Leadership-level value by role</w:t>
      </w:r>
    </w:p>
    <w:p>
      <w:pPr>
        <w:pStyle w:val="ListParagraph"/>
        <w:numPr>
          <w:ilvl w:val="0"/>
          <w:numId w:val="2"/>
        </w:numPr>
        <w:spacing w:after="80" w:before="0"/>
      </w:pPr>
      <w:r>
        <w:rPr>
          <w:rFonts w:ascii="Arial" w:cs="Arial" w:eastAsia="Arial" w:hAnsi="Arial"/>
          <w:b/>
          <w:bCs/>
          <w:color w:val="0D1F3C"/>
          <w:sz w:val="20"/>
          <w:szCs w:val="20"/>
        </w:rPr>
        <w:t xml:space="preserve">CTO </w:t>
      </w:r>
      <w:r>
        <w:rPr>
          <w:rFonts w:ascii="Arial" w:cs="Arial" w:eastAsia="Arial" w:hAnsi="Arial"/>
          <w:color w:val="3A3A3A"/>
          <w:sz w:val="20"/>
          <w:szCs w:val="20"/>
        </w:rPr>
        <w:t xml:space="preserve">Explain the systems boundary between intelligence, control, and execution.</w:t>
      </w:r>
    </w:p>
    <w:p>
      <w:pPr>
        <w:pStyle w:val="ListParagraph"/>
        <w:numPr>
          <w:ilvl w:val="0"/>
          <w:numId w:val="2"/>
        </w:numPr>
        <w:spacing w:after="80" w:before="0"/>
      </w:pPr>
      <w:r>
        <w:rPr>
          <w:rFonts w:ascii="Arial" w:cs="Arial" w:eastAsia="Arial" w:hAnsi="Arial"/>
          <w:b/>
          <w:bCs/>
          <w:color w:val="0D1F3C"/>
          <w:sz w:val="20"/>
          <w:szCs w:val="20"/>
        </w:rPr>
        <w:t xml:space="preserve">CIO </w:t>
      </w:r>
      <w:r>
        <w:rPr>
          <w:rFonts w:ascii="Arial" w:cs="Arial" w:eastAsia="Arial" w:hAnsi="Arial"/>
          <w:color w:val="3A3A3A"/>
          <w:sz w:val="20"/>
          <w:szCs w:val="20"/>
        </w:rPr>
        <w:t xml:space="preserve">Governance around investment decisions before capital is deployed.</w:t>
      </w:r>
    </w:p>
    <w:p>
      <w:pPr>
        <w:pStyle w:val="ListParagraph"/>
        <w:numPr>
          <w:ilvl w:val="0"/>
          <w:numId w:val="2"/>
        </w:numPr>
        <w:spacing w:after="80" w:before="0"/>
      </w:pPr>
      <w:r>
        <w:rPr>
          <w:rFonts w:ascii="Arial" w:cs="Arial" w:eastAsia="Arial" w:hAnsi="Arial"/>
          <w:b/>
          <w:bCs/>
          <w:color w:val="0D1F3C"/>
          <w:sz w:val="20"/>
          <w:szCs w:val="20"/>
        </w:rPr>
        <w:t xml:space="preserve">Chief Risk Manager </w:t>
      </w:r>
      <w:r>
        <w:rPr>
          <w:rFonts w:ascii="Arial" w:cs="Arial" w:eastAsia="Arial" w:hAnsi="Arial"/>
          <w:color w:val="3A3A3A"/>
          <w:sz w:val="20"/>
          <w:szCs w:val="20"/>
        </w:rPr>
        <w:t xml:space="preserve">Visible pre-trade controls, replayability, and explainability on demand.</w:t>
      </w:r>
    </w:p>
    <w:p>
      <w:pPr>
        <w:pStyle w:val="ListParagraph"/>
        <w:numPr>
          <w:ilvl w:val="0"/>
          <w:numId w:val="2"/>
        </w:numPr>
        <w:spacing w:after="80" w:before="0"/>
      </w:pPr>
      <w:r>
        <w:rPr>
          <w:rFonts w:ascii="Arial" w:cs="Arial" w:eastAsia="Arial" w:hAnsi="Arial"/>
          <w:b/>
          <w:bCs/>
          <w:color w:val="0D1F3C"/>
          <w:sz w:val="20"/>
          <w:szCs w:val="20"/>
        </w:rPr>
        <w:t xml:space="preserve">Compliance </w:t>
      </w:r>
      <w:r>
        <w:rPr>
          <w:rFonts w:ascii="Arial" w:cs="Arial" w:eastAsia="Arial" w:hAnsi="Arial"/>
          <w:color w:val="3A3A3A"/>
          <w:sz w:val="20"/>
          <w:szCs w:val="20"/>
        </w:rPr>
        <w:t xml:space="preserve">The SR 11-7 model risk framework applied to AI-assisted systems before regulators require it.</w:t>
      </w:r>
    </w:p>
    <w:p>
      <w:pPr>
        <w:pStyle w:val="ListParagraph"/>
        <w:numPr>
          <w:ilvl w:val="0"/>
          <w:numId w:val="2"/>
        </w:numPr>
        <w:spacing w:after="80" w:before="0"/>
      </w:pPr>
      <w:r>
        <w:rPr>
          <w:rFonts w:ascii="Arial" w:cs="Arial" w:eastAsia="Arial" w:hAnsi="Arial"/>
          <w:b/>
          <w:bCs/>
          <w:color w:val="0D1F3C"/>
          <w:sz w:val="20"/>
          <w:szCs w:val="20"/>
        </w:rPr>
        <w:t xml:space="preserve">Investors </w:t>
      </w:r>
      <w:r>
        <w:rPr>
          <w:rFonts w:ascii="Arial" w:cs="Arial" w:eastAsia="Arial" w:hAnsi="Arial"/>
          <w:color w:val="3A3A3A"/>
          <w:sz w:val="20"/>
          <w:szCs w:val="20"/>
        </w:rPr>
        <w:t xml:space="preserve">Stronger trust model around how AI-assisted actions are governed at every layer.</w:t>
      </w:r>
    </w:p>
    <w:p>
      <w:pPr>
        <w:spacing w:after="80" w:before="0"/>
      </w:pPr>
    </w:p>
    <w:p>
      <w:pPr>
        <w:spacing w:after="60" w:before="320"/>
      </w:pPr>
      <w:r>
        <w:rPr>
          <w:rFonts w:ascii="Arial" w:cs="Arial" w:eastAsia="Arial" w:hAnsi="Arial"/>
          <w:b/>
          <w:bCs/>
          <w:caps/>
          <w:color w:val="B8972A"/>
          <w:sz w:val="16"/>
          <w:szCs w:val="16"/>
        </w:rPr>
        <w:t xml:space="preserve">Academic Foundation</w:t>
      </w:r>
    </w:p>
    <w:p>
      <w:pPr>
        <w:spacing w:after="80" w:before="280"/>
      </w:pPr>
      <w:r>
        <w:rPr>
          <w:rFonts w:ascii="Arial" w:cs="Arial" w:eastAsia="Arial" w:hAnsi="Arial"/>
          <w:b/>
          <w:bCs/>
          <w:color w:val="2C4A72"/>
          <w:sz w:val="28"/>
          <w:szCs w:val="28"/>
        </w:rPr>
        <w:t xml:space="preserve">Duffie (2025) — “The Case for PORTS”, Brookings Institution</w:t>
      </w:r>
    </w:p>
    <w:p>
      <w:pPr>
        <w:spacing w:after="100" w:before="0"/>
      </w:pPr>
      <w:r>
        <w:rPr>
          <w:rFonts w:ascii="Arial" w:cs="Arial" w:eastAsia="Arial" w:hAnsi="Arial"/>
          <w:color w:val="3A3A3A"/>
          <w:sz w:val="20"/>
          <w:szCs w:val="20"/>
        </w:rPr>
        <w:t xml:space="preserve">Cato’s tokenized settlement architecture is a working reference implementation of the governance layer Duffie proposes in this paper. The Fed L1 placeholder slot in every Cato chain_state response is reserved for the sovereign tokenized reserve rail Duffie’s PORTS framework describes. The doctrine doesn’t change when PORTS ships. The route does.</w:t>
      </w:r>
    </w:p>
    <w:p>
      <w:pPr>
        <w:spacing w:after="80" w:before="0"/>
      </w:pPr>
    </w:p>
    <w:p>
      <w:pPr>
        <w:pBdr>
          <w:bottom w:val="single" w:color="B8972A" w:sz="4" w:space="1"/>
        </w:pBdr>
        <w:spacing w:after="160" w:before="0"/>
      </w:pPr>
    </w:p>
    <w:p>
      <w:pPr>
        <w:spacing w:after="80" w:before="80"/>
      </w:pPr>
      <w:r>
        <w:rPr>
          <w:rFonts w:ascii="Arial" w:cs="Arial" w:eastAsia="Arial" w:hAnsi="Arial"/>
          <w:color w:val="B8972A"/>
          <w:sz w:val="16"/>
          <w:szCs w:val="16"/>
        </w:rPr>
        <w:t xml:space="preserve">Project Aureon · The Grid 3 · Framework Brief · April 2026</w:t>
      </w:r>
      <w:r>
        <w:rPr>
          <w:rFonts w:ascii="Arial" w:cs="Arial" w:eastAsia="Arial" w:hAnsi="Arial"/>
          <w:color w:val="8A9AAA"/>
          <w:sz w:val="16"/>
          <w:szCs w:val="16"/>
        </w:rPr>
        <w:t xml:space="preserve">     ·     Paper trading — no real capital at risk — approaching institutional testing</w:t>
      </w:r>
    </w:p>
    <w:p>
      <w:pPr>
        <w:spacing w:after="0" w:before="0"/>
      </w:pPr>
      <w:r>
        <w:rPr>
          <w:rFonts w:ascii="Arial" w:cs="Arial" w:eastAsia="Arial" w:hAnsi="Arial"/>
          <w:color w:val="8A9AAA"/>
          <w:sz w:val="16"/>
          <w:szCs w:val="16"/>
        </w:rPr>
        <w:t xml:space="preserve">Live: </w:t>
      </w:r>
      <w:r>
        <w:rPr>
          <w:rFonts w:ascii="Arial" w:cs="Arial" w:eastAsia="Arial" w:hAnsi="Arial"/>
          <w:color w:val="2C4A72"/>
          <w:sz w:val="16"/>
          <w:szCs w:val="16"/>
        </w:rPr>
        <w:t xml:space="preserve">https://aureon-production.up.railway.app</w:t>
      </w:r>
      <w:r>
        <w:rPr>
          <w:rFonts w:ascii="Arial" w:cs="Arial" w:eastAsia="Arial" w:hAnsi="Arial"/>
          <w:color w:val="8A9AAA"/>
          <w:sz w:val="16"/>
          <w:szCs w:val="16"/>
        </w:rPr>
        <w:t xml:space="preserve">     Cato MCP: </w:t>
      </w:r>
      <w:r>
        <w:rPr>
          <w:rFonts w:ascii="Arial" w:cs="Arial" w:eastAsia="Arial" w:hAnsi="Arial"/>
          <w:color w:val="2C4A72"/>
          <w:sz w:val="16"/>
          <w:szCs w:val="16"/>
        </w:rPr>
        <w:t xml:space="preserve">https://github.com/br-collab/Cato---FICC-MCP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2026-04-14T23:42:04.102Z</dcterms:created>
  <dcterms:modified xsi:type="dcterms:W3CDTF">2026-04-14T23:42:04.103Z</dcterms:modified>
</cp:coreProperties>
</file>

<file path=docProps/custom.xml><?xml version="1.0" encoding="utf-8"?>
<Properties xmlns="http://schemas.openxmlformats.org/officeDocument/2006/custom-properties" xmlns:vt="http://schemas.openxmlformats.org/officeDocument/2006/docPropsVTypes"/>
</file>