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3A470" w14:textId="0BCB32A3" w:rsidR="008B31FA" w:rsidRPr="008B31FA" w:rsidRDefault="008B31FA" w:rsidP="008B31FA">
      <w:pPr>
        <w:rPr>
          <w:rFonts w:ascii="Arial" w:hAnsi="Arial" w:cs="Arial"/>
          <w:b/>
          <w:bCs/>
        </w:rPr>
      </w:pPr>
      <w:r w:rsidRPr="008B31FA">
        <w:rPr>
          <w:rFonts w:ascii="Arial" w:hAnsi="Arial" w:cs="Arial"/>
          <w:b/>
          <w:bCs/>
        </w:rPr>
        <w:t xml:space="preserve">ANEXO II - DEFINIÇÃO DE FAIXA RELATIVAS DE TAXAS COMERCIAIS DOS </w:t>
      </w:r>
    </w:p>
    <w:p w14:paraId="0F3995BC" w14:textId="4F49A51B" w:rsidR="00A26A23" w:rsidRDefault="008B31FA" w:rsidP="008B31FA">
      <w:pPr>
        <w:rPr>
          <w:rFonts w:ascii="Arial" w:hAnsi="Arial" w:cs="Arial"/>
          <w:b/>
          <w:bCs/>
        </w:rPr>
      </w:pPr>
      <w:r w:rsidRPr="008B31FA">
        <w:rPr>
          <w:rFonts w:ascii="Arial" w:hAnsi="Arial" w:cs="Arial"/>
          <w:b/>
          <w:bCs/>
        </w:rPr>
        <w:t>PRODUTOS</w:t>
      </w:r>
      <w:r w:rsidR="001C5870">
        <w:rPr>
          <w:rFonts w:ascii="Arial" w:hAnsi="Arial" w:cs="Arial"/>
          <w:b/>
          <w:bCs/>
        </w:rPr>
        <w:t xml:space="preserve"> (FASE I)</w:t>
      </w:r>
    </w:p>
    <w:p w14:paraId="2ECA7A61" w14:textId="77777777" w:rsidR="001C5870" w:rsidRPr="008B31FA" w:rsidRDefault="001C5870" w:rsidP="008B31FA">
      <w:pPr>
        <w:rPr>
          <w:rFonts w:ascii="Arial" w:hAnsi="Arial" w:cs="Arial"/>
          <w:b/>
          <w:bCs/>
        </w:rPr>
      </w:pPr>
    </w:p>
    <w:p w14:paraId="624203C4" w14:textId="308DE65C" w:rsidR="00880C85" w:rsidRPr="006D79F7" w:rsidRDefault="00FE483E" w:rsidP="00F65607">
      <w:pPr>
        <w:pStyle w:val="Estilo1"/>
      </w:pPr>
      <w:bookmarkStart w:id="0" w:name="_Toc159511128"/>
      <w:bookmarkStart w:id="1" w:name="_Toc159927011"/>
      <w:r w:rsidRPr="006D79F7">
        <w:t>Metodologia</w:t>
      </w:r>
      <w:r w:rsidR="00087B7D" w:rsidRPr="006D79F7">
        <w:t xml:space="preserve"> </w:t>
      </w:r>
      <w:r w:rsidR="003A113A" w:rsidRPr="006D79F7">
        <w:t>padrão</w:t>
      </w:r>
      <w:bookmarkEnd w:id="0"/>
      <w:bookmarkEnd w:id="1"/>
    </w:p>
    <w:p w14:paraId="2628ECF5" w14:textId="77777777" w:rsidR="00333F2F" w:rsidRPr="006D79F7" w:rsidRDefault="00333F2F" w:rsidP="00333F2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68C96F0" w14:textId="1C712289" w:rsidR="00333F2F" w:rsidRPr="006D79F7" w:rsidRDefault="0099156F" w:rsidP="00FC1E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260A3E" w:rsidRPr="006D79F7">
        <w:rPr>
          <w:rFonts w:ascii="Arial" w:hAnsi="Arial" w:cs="Arial"/>
          <w:sz w:val="24"/>
          <w:szCs w:val="24"/>
        </w:rPr>
        <w:t xml:space="preserve">metodologia base se manteve a mesma para grande parte dos produtos, com exceções pontuais </w:t>
      </w:r>
      <w:r w:rsidR="00FC1E3F" w:rsidRPr="006D79F7">
        <w:rPr>
          <w:rFonts w:ascii="Arial" w:hAnsi="Arial" w:cs="Arial"/>
          <w:sz w:val="24"/>
          <w:szCs w:val="24"/>
        </w:rPr>
        <w:t>detalhadas nas seguintes seções</w:t>
      </w:r>
      <w:r w:rsidR="006E6B67" w:rsidRPr="006D79F7">
        <w:rPr>
          <w:rFonts w:ascii="Arial" w:hAnsi="Arial" w:cs="Arial"/>
          <w:sz w:val="24"/>
          <w:szCs w:val="24"/>
        </w:rPr>
        <w:t>,</w:t>
      </w:r>
      <w:r w:rsidR="008145E8" w:rsidRPr="006D79F7">
        <w:rPr>
          <w:rFonts w:ascii="Arial" w:hAnsi="Arial" w:cs="Arial"/>
          <w:sz w:val="24"/>
          <w:szCs w:val="24"/>
        </w:rPr>
        <w:t xml:space="preserve"> </w:t>
      </w:r>
      <w:r w:rsidR="00077AAD" w:rsidRPr="006D79F7">
        <w:rPr>
          <w:rFonts w:ascii="Arial" w:hAnsi="Arial" w:cs="Arial"/>
          <w:sz w:val="24"/>
          <w:szCs w:val="24"/>
        </w:rPr>
        <w:t>de forma a facilitar a implementação do mercado e o entendimento das empresas que fossem consumir as informações.</w:t>
      </w:r>
    </w:p>
    <w:p w14:paraId="37A2141F" w14:textId="621778E6" w:rsidR="003B3FA9" w:rsidRPr="006D79F7" w:rsidRDefault="003B3FA9" w:rsidP="00FC1E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A metodologia padrão é dada com base </w:t>
      </w:r>
      <w:r w:rsidR="00D00125" w:rsidRPr="006D79F7">
        <w:rPr>
          <w:rFonts w:ascii="Arial" w:hAnsi="Arial" w:cs="Arial"/>
          <w:sz w:val="24"/>
          <w:szCs w:val="24"/>
        </w:rPr>
        <w:t xml:space="preserve">em quatro faixas </w:t>
      </w:r>
      <w:r w:rsidR="006E6B67" w:rsidRPr="006D79F7">
        <w:rPr>
          <w:rFonts w:ascii="Arial" w:hAnsi="Arial" w:cs="Arial"/>
          <w:sz w:val="24"/>
          <w:szCs w:val="24"/>
        </w:rPr>
        <w:t>pré-definidas</w:t>
      </w:r>
      <w:r w:rsidR="00D00125" w:rsidRPr="006D79F7">
        <w:rPr>
          <w:rFonts w:ascii="Arial" w:hAnsi="Arial" w:cs="Arial"/>
          <w:sz w:val="24"/>
          <w:szCs w:val="24"/>
        </w:rPr>
        <w:t xml:space="preserve"> de LMI</w:t>
      </w:r>
      <w:r w:rsidR="00A25D6C" w:rsidRPr="006D79F7">
        <w:rPr>
          <w:rFonts w:ascii="Arial" w:hAnsi="Arial" w:cs="Arial"/>
          <w:sz w:val="24"/>
          <w:szCs w:val="24"/>
        </w:rPr>
        <w:t>, LMG</w:t>
      </w:r>
      <w:r w:rsidR="00CA3ED2" w:rsidRPr="006D79F7">
        <w:rPr>
          <w:rFonts w:ascii="Arial" w:hAnsi="Arial" w:cs="Arial"/>
          <w:sz w:val="24"/>
          <w:szCs w:val="24"/>
        </w:rPr>
        <w:t xml:space="preserve"> </w:t>
      </w:r>
      <w:r w:rsidR="007E66B0" w:rsidRPr="006D79F7">
        <w:rPr>
          <w:rFonts w:ascii="Arial" w:hAnsi="Arial" w:cs="Arial"/>
          <w:sz w:val="24"/>
          <w:szCs w:val="24"/>
        </w:rPr>
        <w:t xml:space="preserve">ou Capital Segurado </w:t>
      </w:r>
      <w:r w:rsidR="00CA3ED2" w:rsidRPr="006D79F7">
        <w:rPr>
          <w:rFonts w:ascii="Arial" w:hAnsi="Arial" w:cs="Arial"/>
          <w:sz w:val="24"/>
          <w:szCs w:val="24"/>
        </w:rPr>
        <w:t>por produto</w:t>
      </w:r>
      <w:r w:rsidR="002B4411" w:rsidRPr="006D79F7">
        <w:rPr>
          <w:rFonts w:ascii="Arial" w:hAnsi="Arial" w:cs="Arial"/>
          <w:sz w:val="24"/>
          <w:szCs w:val="24"/>
        </w:rPr>
        <w:t>/grupo</w:t>
      </w:r>
      <w:r w:rsidR="00CA3ED2" w:rsidRPr="006D79F7">
        <w:rPr>
          <w:rFonts w:ascii="Arial" w:hAnsi="Arial" w:cs="Arial"/>
          <w:sz w:val="24"/>
          <w:szCs w:val="24"/>
        </w:rPr>
        <w:t>. As faixas não neces</w:t>
      </w:r>
      <w:r w:rsidR="006E6B67" w:rsidRPr="006D79F7">
        <w:rPr>
          <w:rFonts w:ascii="Arial" w:hAnsi="Arial" w:cs="Arial"/>
          <w:sz w:val="24"/>
          <w:szCs w:val="24"/>
        </w:rPr>
        <w:t xml:space="preserve">sariamente são </w:t>
      </w:r>
      <w:r w:rsidR="00F5156F" w:rsidRPr="006D79F7">
        <w:rPr>
          <w:rFonts w:ascii="Arial" w:hAnsi="Arial" w:cs="Arial"/>
          <w:sz w:val="24"/>
          <w:szCs w:val="24"/>
        </w:rPr>
        <w:t xml:space="preserve">de igual tamanho tendo em vista que a concentração </w:t>
      </w:r>
      <w:r w:rsidR="00897DB7" w:rsidRPr="006D79F7">
        <w:rPr>
          <w:rFonts w:ascii="Arial" w:hAnsi="Arial" w:cs="Arial"/>
          <w:sz w:val="24"/>
          <w:szCs w:val="24"/>
        </w:rPr>
        <w:t>de apólices por LMI</w:t>
      </w:r>
      <w:r w:rsidR="001A0891" w:rsidRPr="006D79F7">
        <w:rPr>
          <w:rFonts w:ascii="Arial" w:hAnsi="Arial" w:cs="Arial"/>
          <w:sz w:val="24"/>
          <w:szCs w:val="24"/>
        </w:rPr>
        <w:t>, LMG ou Capital Segurado</w:t>
      </w:r>
      <w:r w:rsidR="00897DB7" w:rsidRPr="006D79F7">
        <w:rPr>
          <w:rFonts w:ascii="Arial" w:hAnsi="Arial" w:cs="Arial"/>
          <w:sz w:val="24"/>
          <w:szCs w:val="24"/>
        </w:rPr>
        <w:t xml:space="preserve"> não é </w:t>
      </w:r>
      <w:r w:rsidR="008F763E" w:rsidRPr="006D79F7">
        <w:rPr>
          <w:rFonts w:ascii="Arial" w:hAnsi="Arial" w:cs="Arial"/>
          <w:sz w:val="24"/>
          <w:szCs w:val="24"/>
        </w:rPr>
        <w:t>uniforme</w:t>
      </w:r>
      <w:r w:rsidR="007E66B0" w:rsidRPr="006D79F7">
        <w:rPr>
          <w:rFonts w:ascii="Arial" w:hAnsi="Arial" w:cs="Arial"/>
          <w:sz w:val="24"/>
          <w:szCs w:val="24"/>
        </w:rPr>
        <w:t>.</w:t>
      </w:r>
      <w:r w:rsidR="00712EA6" w:rsidRPr="006D79F7">
        <w:rPr>
          <w:rFonts w:ascii="Arial" w:hAnsi="Arial" w:cs="Arial"/>
          <w:sz w:val="24"/>
          <w:szCs w:val="24"/>
        </w:rPr>
        <w:t xml:space="preserve"> </w:t>
      </w:r>
      <w:r w:rsidR="007E66B0" w:rsidRPr="006D79F7">
        <w:rPr>
          <w:rFonts w:ascii="Arial" w:hAnsi="Arial" w:cs="Arial"/>
          <w:sz w:val="24"/>
          <w:szCs w:val="24"/>
        </w:rPr>
        <w:t>F</w:t>
      </w:r>
      <w:r w:rsidR="00712EA6" w:rsidRPr="006D79F7">
        <w:rPr>
          <w:rFonts w:ascii="Arial" w:hAnsi="Arial" w:cs="Arial"/>
          <w:sz w:val="24"/>
          <w:szCs w:val="24"/>
        </w:rPr>
        <w:t xml:space="preserve">oram realizadas as divisões de acordo com o que o mercado percebeu </w:t>
      </w:r>
      <w:r w:rsidR="00B7676E" w:rsidRPr="006D79F7">
        <w:rPr>
          <w:rFonts w:ascii="Arial" w:hAnsi="Arial" w:cs="Arial"/>
          <w:sz w:val="24"/>
          <w:szCs w:val="24"/>
        </w:rPr>
        <w:t>ser</w:t>
      </w:r>
      <w:r w:rsidR="00E900A2" w:rsidRPr="006D79F7">
        <w:rPr>
          <w:rFonts w:ascii="Arial" w:hAnsi="Arial" w:cs="Arial"/>
          <w:sz w:val="24"/>
          <w:szCs w:val="24"/>
        </w:rPr>
        <w:t xml:space="preserve"> uma distribuição mais coesa </w:t>
      </w:r>
      <w:r w:rsidR="0094015E" w:rsidRPr="006D79F7">
        <w:rPr>
          <w:rFonts w:ascii="Arial" w:hAnsi="Arial" w:cs="Arial"/>
          <w:sz w:val="24"/>
          <w:szCs w:val="24"/>
        </w:rPr>
        <w:t>através d</w:t>
      </w:r>
      <w:r w:rsidR="00A41538" w:rsidRPr="006D79F7">
        <w:rPr>
          <w:rFonts w:ascii="Arial" w:hAnsi="Arial" w:cs="Arial"/>
          <w:sz w:val="24"/>
          <w:szCs w:val="24"/>
        </w:rPr>
        <w:t>o levantamento de</w:t>
      </w:r>
      <w:r w:rsidR="00B7676E" w:rsidRPr="006D79F7">
        <w:rPr>
          <w:rFonts w:ascii="Arial" w:hAnsi="Arial" w:cs="Arial"/>
          <w:sz w:val="24"/>
          <w:szCs w:val="24"/>
        </w:rPr>
        <w:t xml:space="preserve"> seus dados internos</w:t>
      </w:r>
      <w:r w:rsidR="00075E1D" w:rsidRPr="006D79F7">
        <w:rPr>
          <w:rFonts w:ascii="Arial" w:hAnsi="Arial" w:cs="Arial"/>
          <w:sz w:val="24"/>
          <w:szCs w:val="24"/>
        </w:rPr>
        <w:t xml:space="preserve"> e considerando sempre pelo menos 8</w:t>
      </w:r>
      <w:r w:rsidR="00E138C9" w:rsidRPr="006D79F7">
        <w:rPr>
          <w:rFonts w:ascii="Arial" w:hAnsi="Arial" w:cs="Arial"/>
          <w:sz w:val="24"/>
          <w:szCs w:val="24"/>
        </w:rPr>
        <w:t>0</w:t>
      </w:r>
      <w:r w:rsidR="00075E1D" w:rsidRPr="006D79F7">
        <w:rPr>
          <w:rFonts w:ascii="Arial" w:hAnsi="Arial" w:cs="Arial"/>
          <w:sz w:val="24"/>
          <w:szCs w:val="24"/>
        </w:rPr>
        <w:t>% da carteira das seguradoras.</w:t>
      </w:r>
    </w:p>
    <w:p w14:paraId="1E22F925" w14:textId="397D08EC" w:rsidR="00B7676E" w:rsidRPr="006D79F7" w:rsidRDefault="00086382" w:rsidP="00FC1E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Para cada faixa de LMI</w:t>
      </w:r>
      <w:r w:rsidR="001A0891" w:rsidRPr="006D79F7">
        <w:rPr>
          <w:rFonts w:ascii="Arial" w:hAnsi="Arial" w:cs="Arial"/>
          <w:sz w:val="24"/>
          <w:szCs w:val="24"/>
        </w:rPr>
        <w:t>, LMG ou Capital Segurado</w:t>
      </w:r>
      <w:r w:rsidRPr="006D79F7">
        <w:rPr>
          <w:rFonts w:ascii="Arial" w:hAnsi="Arial" w:cs="Arial"/>
          <w:sz w:val="24"/>
          <w:szCs w:val="24"/>
        </w:rPr>
        <w:t xml:space="preserve"> será reportado </w:t>
      </w:r>
      <w:r w:rsidR="00EE7E63" w:rsidRPr="006D79F7">
        <w:rPr>
          <w:rFonts w:ascii="Arial" w:hAnsi="Arial" w:cs="Arial"/>
          <w:sz w:val="24"/>
          <w:szCs w:val="24"/>
        </w:rPr>
        <w:t>o valor mínimo</w:t>
      </w:r>
      <w:r w:rsidR="00717BC2" w:rsidRPr="006D79F7">
        <w:rPr>
          <w:rFonts w:ascii="Arial" w:hAnsi="Arial" w:cs="Arial"/>
          <w:sz w:val="24"/>
          <w:szCs w:val="24"/>
        </w:rPr>
        <w:t xml:space="preserve">, </w:t>
      </w:r>
      <w:r w:rsidR="00EE7E63" w:rsidRPr="006D79F7">
        <w:rPr>
          <w:rFonts w:ascii="Arial" w:hAnsi="Arial" w:cs="Arial"/>
          <w:sz w:val="24"/>
          <w:szCs w:val="24"/>
        </w:rPr>
        <w:t>máximo</w:t>
      </w:r>
      <w:r w:rsidR="00717BC2" w:rsidRPr="006D79F7">
        <w:rPr>
          <w:rFonts w:ascii="Arial" w:hAnsi="Arial" w:cs="Arial"/>
          <w:sz w:val="24"/>
          <w:szCs w:val="24"/>
        </w:rPr>
        <w:t xml:space="preserve"> e a mediana</w:t>
      </w:r>
      <w:r w:rsidR="00EE7E63" w:rsidRPr="006D79F7">
        <w:rPr>
          <w:rFonts w:ascii="Arial" w:hAnsi="Arial" w:cs="Arial"/>
          <w:sz w:val="24"/>
          <w:szCs w:val="24"/>
        </w:rPr>
        <w:t xml:space="preserve"> </w:t>
      </w:r>
      <w:r w:rsidR="005E09DF" w:rsidRPr="006D79F7">
        <w:rPr>
          <w:rFonts w:ascii="Arial" w:hAnsi="Arial" w:cs="Arial"/>
          <w:sz w:val="24"/>
          <w:szCs w:val="24"/>
        </w:rPr>
        <w:t>d</w:t>
      </w:r>
      <w:r w:rsidR="00A41538" w:rsidRPr="006D79F7">
        <w:rPr>
          <w:rFonts w:ascii="Arial" w:hAnsi="Arial" w:cs="Arial"/>
          <w:sz w:val="24"/>
          <w:szCs w:val="24"/>
        </w:rPr>
        <w:t>e uma estimativa do</w:t>
      </w:r>
      <w:r w:rsidR="005E09DF" w:rsidRPr="006D79F7">
        <w:rPr>
          <w:rFonts w:ascii="Arial" w:hAnsi="Arial" w:cs="Arial"/>
          <w:sz w:val="24"/>
          <w:szCs w:val="24"/>
        </w:rPr>
        <w:t xml:space="preserve"> </w:t>
      </w:r>
      <w:r w:rsidR="006B6618" w:rsidRPr="006D79F7">
        <w:rPr>
          <w:rFonts w:ascii="Arial" w:hAnsi="Arial" w:cs="Arial"/>
          <w:sz w:val="24"/>
          <w:szCs w:val="24"/>
        </w:rPr>
        <w:t xml:space="preserve">valor do </w:t>
      </w:r>
      <w:r w:rsidR="005E09DF" w:rsidRPr="006D79F7">
        <w:rPr>
          <w:rFonts w:ascii="Arial" w:hAnsi="Arial" w:cs="Arial"/>
          <w:sz w:val="24"/>
          <w:szCs w:val="24"/>
        </w:rPr>
        <w:t>prêmio</w:t>
      </w:r>
      <w:r w:rsidR="00717BC2" w:rsidRPr="006D79F7">
        <w:rPr>
          <w:rFonts w:ascii="Arial" w:hAnsi="Arial" w:cs="Arial"/>
          <w:sz w:val="24"/>
          <w:szCs w:val="24"/>
        </w:rPr>
        <w:t xml:space="preserve"> </w:t>
      </w:r>
      <w:r w:rsidR="00906132" w:rsidRPr="006D79F7">
        <w:rPr>
          <w:rFonts w:ascii="Arial" w:hAnsi="Arial" w:cs="Arial"/>
          <w:sz w:val="24"/>
          <w:szCs w:val="24"/>
        </w:rPr>
        <w:t xml:space="preserve">anual </w:t>
      </w:r>
      <w:r w:rsidR="00717BC2" w:rsidRPr="006D79F7">
        <w:rPr>
          <w:rFonts w:ascii="Arial" w:hAnsi="Arial" w:cs="Arial"/>
          <w:sz w:val="24"/>
          <w:szCs w:val="24"/>
        </w:rPr>
        <w:t>que o cliente</w:t>
      </w:r>
      <w:r w:rsidR="005E09DF" w:rsidRPr="006D79F7">
        <w:rPr>
          <w:rFonts w:ascii="Arial" w:hAnsi="Arial" w:cs="Arial"/>
          <w:sz w:val="24"/>
          <w:szCs w:val="24"/>
        </w:rPr>
        <w:t xml:space="preserve"> </w:t>
      </w:r>
      <w:r w:rsidR="004D38F5" w:rsidRPr="006D79F7">
        <w:rPr>
          <w:rFonts w:ascii="Arial" w:hAnsi="Arial" w:cs="Arial"/>
          <w:sz w:val="24"/>
          <w:szCs w:val="24"/>
        </w:rPr>
        <w:t>pode</w:t>
      </w:r>
      <w:r w:rsidR="00A41538" w:rsidRPr="006D79F7">
        <w:rPr>
          <w:rFonts w:ascii="Arial" w:hAnsi="Arial" w:cs="Arial"/>
          <w:sz w:val="24"/>
          <w:szCs w:val="24"/>
        </w:rPr>
        <w:t>rá</w:t>
      </w:r>
      <w:r w:rsidR="004D38F5" w:rsidRPr="006D79F7">
        <w:rPr>
          <w:rFonts w:ascii="Arial" w:hAnsi="Arial" w:cs="Arial"/>
          <w:sz w:val="24"/>
          <w:szCs w:val="24"/>
        </w:rPr>
        <w:t xml:space="preserve"> pagar </w:t>
      </w:r>
      <w:r w:rsidR="00717BC2" w:rsidRPr="006D79F7">
        <w:rPr>
          <w:rFonts w:ascii="Arial" w:hAnsi="Arial" w:cs="Arial"/>
          <w:sz w:val="24"/>
          <w:szCs w:val="24"/>
        </w:rPr>
        <w:t xml:space="preserve">dentro do </w:t>
      </w:r>
      <w:r w:rsidR="00717BC2" w:rsidRPr="006D79F7">
        <w:rPr>
          <w:rFonts w:ascii="Arial" w:hAnsi="Arial" w:cs="Arial"/>
          <w:i/>
          <w:iCs/>
          <w:sz w:val="24"/>
          <w:szCs w:val="24"/>
        </w:rPr>
        <w:t>range</w:t>
      </w:r>
      <w:r w:rsidR="004F7434">
        <w:rPr>
          <w:rFonts w:ascii="Arial" w:hAnsi="Arial" w:cs="Arial"/>
          <w:i/>
          <w:iCs/>
          <w:sz w:val="24"/>
          <w:szCs w:val="24"/>
        </w:rPr>
        <w:t xml:space="preserve"> </w:t>
      </w:r>
      <w:r w:rsidR="004F7434" w:rsidRPr="00271630">
        <w:rPr>
          <w:rFonts w:ascii="Arial" w:hAnsi="Arial" w:cs="Arial"/>
          <w:sz w:val="24"/>
          <w:szCs w:val="24"/>
        </w:rPr>
        <w:t xml:space="preserve">(exceto para </w:t>
      </w:r>
      <w:r w:rsidR="00024BBE" w:rsidRPr="00271630">
        <w:rPr>
          <w:rFonts w:ascii="Arial" w:hAnsi="Arial" w:cs="Arial"/>
          <w:sz w:val="24"/>
          <w:szCs w:val="24"/>
        </w:rPr>
        <w:t>o ramo fiança locatícia e o grupo habitacional</w:t>
      </w:r>
      <w:r w:rsidR="003B4DCE" w:rsidRPr="00271630">
        <w:rPr>
          <w:rFonts w:ascii="Arial" w:hAnsi="Arial" w:cs="Arial"/>
          <w:sz w:val="24"/>
          <w:szCs w:val="24"/>
        </w:rPr>
        <w:t>, estes estão especificados nas seções espec</w:t>
      </w:r>
      <w:r w:rsidR="00D51BCC" w:rsidRPr="00271630">
        <w:rPr>
          <w:rFonts w:ascii="Arial" w:hAnsi="Arial" w:cs="Arial"/>
          <w:sz w:val="24"/>
          <w:szCs w:val="24"/>
        </w:rPr>
        <w:t>íficas deste documento</w:t>
      </w:r>
      <w:r w:rsidR="00024BBE" w:rsidRPr="00271630">
        <w:rPr>
          <w:rFonts w:ascii="Arial" w:hAnsi="Arial" w:cs="Arial"/>
          <w:sz w:val="24"/>
          <w:szCs w:val="24"/>
        </w:rPr>
        <w:t>)</w:t>
      </w:r>
      <w:r w:rsidR="00717BC2" w:rsidRPr="00024BBE">
        <w:rPr>
          <w:rFonts w:ascii="Arial" w:hAnsi="Arial" w:cs="Arial"/>
          <w:sz w:val="24"/>
          <w:szCs w:val="24"/>
        </w:rPr>
        <w:t>.</w:t>
      </w:r>
      <w:r w:rsidR="00717BC2" w:rsidRPr="006D79F7">
        <w:rPr>
          <w:rFonts w:ascii="Arial" w:hAnsi="Arial" w:cs="Arial"/>
          <w:sz w:val="24"/>
          <w:szCs w:val="24"/>
        </w:rPr>
        <w:t xml:space="preserve"> </w:t>
      </w:r>
      <w:r w:rsidR="00242A6A" w:rsidRPr="006D79F7">
        <w:rPr>
          <w:rFonts w:ascii="Arial" w:hAnsi="Arial" w:cs="Arial"/>
          <w:sz w:val="24"/>
          <w:szCs w:val="24"/>
        </w:rPr>
        <w:t xml:space="preserve">Os valores do prêmio </w:t>
      </w:r>
      <w:r w:rsidR="00452502" w:rsidRPr="006D79F7">
        <w:rPr>
          <w:rFonts w:ascii="Arial" w:hAnsi="Arial" w:cs="Arial"/>
          <w:sz w:val="24"/>
          <w:szCs w:val="24"/>
        </w:rPr>
        <w:t xml:space="preserve">terão como referência as </w:t>
      </w:r>
      <w:r w:rsidR="00A23B60" w:rsidRPr="006D79F7">
        <w:rPr>
          <w:rFonts w:ascii="Arial" w:hAnsi="Arial" w:cs="Arial"/>
          <w:sz w:val="24"/>
          <w:szCs w:val="24"/>
        </w:rPr>
        <w:t>emissões</w:t>
      </w:r>
      <w:r w:rsidR="00192B80" w:rsidRPr="006D79F7">
        <w:rPr>
          <w:rFonts w:ascii="Arial" w:hAnsi="Arial" w:cs="Arial"/>
          <w:sz w:val="24"/>
          <w:szCs w:val="24"/>
        </w:rPr>
        <w:t xml:space="preserve"> (vendas totais)</w:t>
      </w:r>
      <w:r w:rsidR="00452502" w:rsidRPr="006D79F7">
        <w:rPr>
          <w:rFonts w:ascii="Arial" w:hAnsi="Arial" w:cs="Arial"/>
          <w:sz w:val="24"/>
          <w:szCs w:val="24"/>
        </w:rPr>
        <w:t xml:space="preserve"> </w:t>
      </w:r>
      <w:r w:rsidR="00192B80" w:rsidRPr="006D79F7">
        <w:rPr>
          <w:rFonts w:ascii="Arial" w:hAnsi="Arial" w:cs="Arial"/>
          <w:sz w:val="24"/>
          <w:szCs w:val="24"/>
        </w:rPr>
        <w:t xml:space="preserve">das seguradoras </w:t>
      </w:r>
      <w:r w:rsidR="00452502" w:rsidRPr="006D79F7">
        <w:rPr>
          <w:rFonts w:ascii="Arial" w:hAnsi="Arial" w:cs="Arial"/>
          <w:sz w:val="24"/>
          <w:szCs w:val="24"/>
        </w:rPr>
        <w:t>dos últimos 60 dias</w:t>
      </w:r>
      <w:r w:rsidR="00C13119" w:rsidRPr="006D79F7">
        <w:rPr>
          <w:rFonts w:ascii="Arial" w:hAnsi="Arial" w:cs="Arial"/>
          <w:sz w:val="24"/>
          <w:szCs w:val="24"/>
        </w:rPr>
        <w:t>, este prazo não se aplica a</w:t>
      </w:r>
      <w:r w:rsidR="00332BE9" w:rsidRPr="006D79F7">
        <w:rPr>
          <w:rFonts w:ascii="Arial" w:hAnsi="Arial" w:cs="Arial"/>
          <w:sz w:val="24"/>
          <w:szCs w:val="24"/>
        </w:rPr>
        <w:t>o grupo de transportes</w:t>
      </w:r>
      <w:r w:rsidR="0076190B" w:rsidRPr="006D79F7">
        <w:rPr>
          <w:rFonts w:ascii="Arial" w:hAnsi="Arial" w:cs="Arial"/>
          <w:sz w:val="24"/>
          <w:szCs w:val="24"/>
        </w:rPr>
        <w:t>.</w:t>
      </w:r>
      <w:r w:rsidR="00C00DBB" w:rsidRPr="006D79F7">
        <w:rPr>
          <w:rFonts w:ascii="Arial" w:hAnsi="Arial" w:cs="Arial"/>
          <w:sz w:val="24"/>
          <w:szCs w:val="24"/>
        </w:rPr>
        <w:t xml:space="preserve"> </w:t>
      </w:r>
      <w:r w:rsidR="0076190B" w:rsidRPr="006D79F7">
        <w:rPr>
          <w:rFonts w:ascii="Arial" w:hAnsi="Arial" w:cs="Arial"/>
          <w:sz w:val="24"/>
          <w:szCs w:val="24"/>
        </w:rPr>
        <w:t>P</w:t>
      </w:r>
      <w:r w:rsidR="008A04AA" w:rsidRPr="006D79F7">
        <w:rPr>
          <w:rFonts w:ascii="Arial" w:hAnsi="Arial" w:cs="Arial"/>
          <w:sz w:val="24"/>
          <w:szCs w:val="24"/>
        </w:rPr>
        <w:t xml:space="preserve">or ser um dado real torna a informação mais fiel ao </w:t>
      </w:r>
      <w:r w:rsidR="0076190B" w:rsidRPr="006D79F7">
        <w:rPr>
          <w:rFonts w:ascii="Arial" w:hAnsi="Arial" w:cs="Arial"/>
          <w:sz w:val="24"/>
          <w:szCs w:val="24"/>
        </w:rPr>
        <w:t>qual</w:t>
      </w:r>
      <w:r w:rsidR="008A04AA" w:rsidRPr="006D79F7">
        <w:rPr>
          <w:rFonts w:ascii="Arial" w:hAnsi="Arial" w:cs="Arial"/>
          <w:sz w:val="24"/>
          <w:szCs w:val="24"/>
        </w:rPr>
        <w:t xml:space="preserve"> </w:t>
      </w:r>
      <w:r w:rsidR="000F3B8F" w:rsidRPr="006D79F7">
        <w:rPr>
          <w:rFonts w:ascii="Arial" w:hAnsi="Arial" w:cs="Arial"/>
          <w:sz w:val="24"/>
          <w:szCs w:val="24"/>
        </w:rPr>
        <w:t>o cliente</w:t>
      </w:r>
      <w:r w:rsidR="008A04AA" w:rsidRPr="006D79F7">
        <w:rPr>
          <w:rFonts w:ascii="Arial" w:hAnsi="Arial" w:cs="Arial"/>
          <w:sz w:val="24"/>
          <w:szCs w:val="24"/>
        </w:rPr>
        <w:t xml:space="preserve"> pode encontrar </w:t>
      </w:r>
      <w:r w:rsidR="000F3B8F" w:rsidRPr="006D79F7">
        <w:rPr>
          <w:rFonts w:ascii="Arial" w:hAnsi="Arial" w:cs="Arial"/>
          <w:sz w:val="24"/>
          <w:szCs w:val="24"/>
        </w:rPr>
        <w:t>quando for realizar a</w:t>
      </w:r>
      <w:r w:rsidR="008A04AA" w:rsidRPr="006D79F7">
        <w:rPr>
          <w:rFonts w:ascii="Arial" w:hAnsi="Arial" w:cs="Arial"/>
          <w:sz w:val="24"/>
          <w:szCs w:val="24"/>
        </w:rPr>
        <w:t xml:space="preserve"> cotação de um seguro</w:t>
      </w:r>
      <w:r w:rsidR="00782220" w:rsidRPr="006D79F7">
        <w:rPr>
          <w:rFonts w:ascii="Arial" w:hAnsi="Arial" w:cs="Arial"/>
          <w:sz w:val="24"/>
          <w:szCs w:val="24"/>
        </w:rPr>
        <w:t>.</w:t>
      </w:r>
    </w:p>
    <w:p w14:paraId="437C6A1C" w14:textId="0EA89E57" w:rsidR="0085711A" w:rsidRPr="006D79F7" w:rsidRDefault="0085711A" w:rsidP="00FC1E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As informações mencionadas serão reportadas uma única</w:t>
      </w:r>
      <w:r w:rsidR="006B6618" w:rsidRPr="006D79F7">
        <w:rPr>
          <w:rFonts w:ascii="Arial" w:hAnsi="Arial" w:cs="Arial"/>
          <w:sz w:val="24"/>
          <w:szCs w:val="24"/>
        </w:rPr>
        <w:t xml:space="preserve"> </w:t>
      </w:r>
      <w:r w:rsidRPr="006D79F7">
        <w:rPr>
          <w:rFonts w:ascii="Arial" w:hAnsi="Arial" w:cs="Arial"/>
          <w:sz w:val="24"/>
          <w:szCs w:val="24"/>
        </w:rPr>
        <w:t>vez</w:t>
      </w:r>
      <w:r w:rsidR="006B6618" w:rsidRPr="006D79F7">
        <w:rPr>
          <w:rFonts w:ascii="Arial" w:hAnsi="Arial" w:cs="Arial"/>
          <w:sz w:val="24"/>
          <w:szCs w:val="24"/>
        </w:rPr>
        <w:t>, na frequência estipulada,</w:t>
      </w:r>
      <w:r w:rsidRPr="006D79F7">
        <w:rPr>
          <w:rFonts w:ascii="Arial" w:hAnsi="Arial" w:cs="Arial"/>
          <w:sz w:val="24"/>
          <w:szCs w:val="24"/>
        </w:rPr>
        <w:t xml:space="preserve"> para cada uma das seções a seguir</w:t>
      </w:r>
      <w:r w:rsidR="00F31EAA" w:rsidRPr="006D79F7">
        <w:rPr>
          <w:rFonts w:ascii="Arial" w:hAnsi="Arial" w:cs="Arial"/>
          <w:sz w:val="24"/>
          <w:szCs w:val="24"/>
        </w:rPr>
        <w:t xml:space="preserve">, exceto casos com mais de um </w:t>
      </w:r>
      <w:r w:rsidR="001C3677" w:rsidRPr="006D79F7">
        <w:rPr>
          <w:rFonts w:ascii="Arial" w:hAnsi="Arial" w:cs="Arial"/>
          <w:sz w:val="24"/>
          <w:szCs w:val="24"/>
        </w:rPr>
        <w:t>conjunto de faixas</w:t>
      </w:r>
      <w:r w:rsidR="00F31EAA" w:rsidRPr="006D79F7">
        <w:rPr>
          <w:rFonts w:ascii="Arial" w:hAnsi="Arial" w:cs="Arial"/>
          <w:sz w:val="24"/>
          <w:szCs w:val="24"/>
        </w:rPr>
        <w:t>.</w:t>
      </w:r>
    </w:p>
    <w:p w14:paraId="2D8B7CC9" w14:textId="7AF8788D" w:rsidR="00F116F6" w:rsidRPr="006D79F7" w:rsidRDefault="00F116F6" w:rsidP="00FC1E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O tempo de atualização </w:t>
      </w:r>
      <w:r w:rsidR="00B42174" w:rsidRPr="006D79F7">
        <w:rPr>
          <w:rFonts w:ascii="Arial" w:hAnsi="Arial" w:cs="Arial"/>
          <w:sz w:val="24"/>
          <w:szCs w:val="24"/>
        </w:rPr>
        <w:t xml:space="preserve">das informações </w:t>
      </w:r>
      <w:r w:rsidR="006E1C4E" w:rsidRPr="006D79F7">
        <w:rPr>
          <w:rFonts w:ascii="Arial" w:hAnsi="Arial" w:cs="Arial"/>
          <w:sz w:val="24"/>
          <w:szCs w:val="24"/>
        </w:rPr>
        <w:t xml:space="preserve">sugerido pelo mercado é de 120 dias, com </w:t>
      </w:r>
      <w:r w:rsidR="008F7D6D" w:rsidRPr="006D79F7">
        <w:rPr>
          <w:rFonts w:ascii="Arial" w:hAnsi="Arial" w:cs="Arial"/>
          <w:sz w:val="24"/>
          <w:szCs w:val="24"/>
        </w:rPr>
        <w:t>algumas</w:t>
      </w:r>
      <w:r w:rsidR="006E1C4E" w:rsidRPr="006D79F7">
        <w:rPr>
          <w:rFonts w:ascii="Arial" w:hAnsi="Arial" w:cs="Arial"/>
          <w:sz w:val="24"/>
          <w:szCs w:val="24"/>
        </w:rPr>
        <w:t xml:space="preserve"> exceções de produtos com uma maior volatilidade, </w:t>
      </w:r>
      <w:r w:rsidR="00616C41" w:rsidRPr="006D79F7">
        <w:rPr>
          <w:rFonts w:ascii="Arial" w:hAnsi="Arial" w:cs="Arial"/>
          <w:sz w:val="24"/>
          <w:szCs w:val="24"/>
        </w:rPr>
        <w:t xml:space="preserve">tendo em vista </w:t>
      </w:r>
      <w:r w:rsidR="00AD6DA6" w:rsidRPr="006D79F7">
        <w:rPr>
          <w:rFonts w:ascii="Arial" w:hAnsi="Arial" w:cs="Arial"/>
          <w:sz w:val="24"/>
          <w:szCs w:val="24"/>
        </w:rPr>
        <w:t xml:space="preserve">o grande esforço necessário para apresentar esta informação e </w:t>
      </w:r>
      <w:r w:rsidR="00C86AF2" w:rsidRPr="006D79F7">
        <w:rPr>
          <w:rFonts w:ascii="Arial" w:hAnsi="Arial" w:cs="Arial"/>
          <w:sz w:val="24"/>
          <w:szCs w:val="24"/>
        </w:rPr>
        <w:t xml:space="preserve">a baixa alteração de valores </w:t>
      </w:r>
      <w:r w:rsidR="00E00F28" w:rsidRPr="006D79F7">
        <w:rPr>
          <w:rFonts w:ascii="Arial" w:hAnsi="Arial" w:cs="Arial"/>
          <w:sz w:val="24"/>
          <w:szCs w:val="24"/>
        </w:rPr>
        <w:t>nestes períodos.</w:t>
      </w:r>
    </w:p>
    <w:p w14:paraId="79AA2EBC" w14:textId="08D7146B" w:rsidR="00A41538" w:rsidRPr="006D79F7" w:rsidRDefault="00334FE6" w:rsidP="00FC1E3F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lastRenderedPageBreak/>
        <w:t>Como as faixas de LMI</w:t>
      </w:r>
      <w:r w:rsidR="005E76FF" w:rsidRPr="006D79F7">
        <w:rPr>
          <w:rFonts w:ascii="Arial" w:hAnsi="Arial" w:cs="Arial"/>
          <w:sz w:val="24"/>
          <w:szCs w:val="24"/>
        </w:rPr>
        <w:t>, LMG</w:t>
      </w:r>
      <w:r w:rsidRPr="006D79F7">
        <w:rPr>
          <w:rFonts w:ascii="Arial" w:hAnsi="Arial" w:cs="Arial"/>
          <w:sz w:val="24"/>
          <w:szCs w:val="24"/>
        </w:rPr>
        <w:t xml:space="preserve"> ou capital segurado foram definidas com base em dados reais das seguradoras, </w:t>
      </w:r>
      <w:r w:rsidR="00E138C9" w:rsidRPr="006D79F7">
        <w:rPr>
          <w:rFonts w:ascii="Arial" w:hAnsi="Arial" w:cs="Arial"/>
          <w:sz w:val="24"/>
          <w:szCs w:val="24"/>
        </w:rPr>
        <w:t>o</w:t>
      </w:r>
      <w:r w:rsidR="00D91882" w:rsidRPr="006D79F7">
        <w:rPr>
          <w:rFonts w:ascii="Arial" w:hAnsi="Arial" w:cs="Arial"/>
          <w:sz w:val="24"/>
          <w:szCs w:val="24"/>
        </w:rPr>
        <w:t xml:space="preserve"> mercado </w:t>
      </w:r>
      <w:r w:rsidR="00C10C50" w:rsidRPr="006D79F7">
        <w:rPr>
          <w:rFonts w:ascii="Arial" w:hAnsi="Arial" w:cs="Arial"/>
          <w:sz w:val="24"/>
          <w:szCs w:val="24"/>
        </w:rPr>
        <w:t>concorda</w:t>
      </w:r>
      <w:r w:rsidR="00D91882" w:rsidRPr="006D79F7">
        <w:rPr>
          <w:rFonts w:ascii="Arial" w:hAnsi="Arial" w:cs="Arial"/>
          <w:sz w:val="24"/>
          <w:szCs w:val="24"/>
        </w:rPr>
        <w:t xml:space="preserve"> que ocorra uma revisão dos valores destas faixas para todos os produtos</w:t>
      </w:r>
      <w:r w:rsidR="005B45E6" w:rsidRPr="006D79F7">
        <w:rPr>
          <w:rFonts w:ascii="Arial" w:hAnsi="Arial" w:cs="Arial"/>
          <w:sz w:val="24"/>
          <w:szCs w:val="24"/>
        </w:rPr>
        <w:t xml:space="preserve"> </w:t>
      </w:r>
      <w:r w:rsidR="00D91882" w:rsidRPr="006D79F7">
        <w:rPr>
          <w:rFonts w:ascii="Arial" w:hAnsi="Arial" w:cs="Arial"/>
          <w:sz w:val="24"/>
          <w:szCs w:val="24"/>
        </w:rPr>
        <w:t xml:space="preserve">anualmente. Essa revisão será realizada pelos Grupos Técnicos da estrutura Open Insurance e representantes das associadas para formalizar </w:t>
      </w:r>
      <w:r w:rsidR="00E138C9" w:rsidRPr="006D79F7">
        <w:rPr>
          <w:rFonts w:ascii="Arial" w:hAnsi="Arial" w:cs="Arial"/>
          <w:sz w:val="24"/>
          <w:szCs w:val="24"/>
        </w:rPr>
        <w:t>as propostas</w:t>
      </w:r>
      <w:r w:rsidR="00D91882" w:rsidRPr="006D79F7">
        <w:rPr>
          <w:rFonts w:ascii="Arial" w:hAnsi="Arial" w:cs="Arial"/>
          <w:sz w:val="24"/>
          <w:szCs w:val="24"/>
        </w:rPr>
        <w:t xml:space="preserve"> de alteração, se for o caso.</w:t>
      </w:r>
    </w:p>
    <w:p w14:paraId="4C984DA5" w14:textId="06D2C2CC" w:rsidR="009336AF" w:rsidRDefault="007E2784" w:rsidP="00B443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Anteriormente </w:t>
      </w:r>
      <w:r w:rsidR="004E7CA3" w:rsidRPr="006D79F7">
        <w:rPr>
          <w:rFonts w:ascii="Arial" w:hAnsi="Arial" w:cs="Arial"/>
          <w:sz w:val="24"/>
          <w:szCs w:val="24"/>
        </w:rPr>
        <w:t xml:space="preserve">foi proposto pelo grupo a inclusão da informação de porcentagem de </w:t>
      </w:r>
      <w:r w:rsidR="00184392" w:rsidRPr="006D79F7">
        <w:rPr>
          <w:rFonts w:ascii="Arial" w:hAnsi="Arial" w:cs="Arial"/>
          <w:sz w:val="24"/>
          <w:szCs w:val="24"/>
        </w:rPr>
        <w:t>apólices</w:t>
      </w:r>
      <w:r w:rsidR="004E7CA3" w:rsidRPr="006D79F7">
        <w:rPr>
          <w:rFonts w:ascii="Arial" w:hAnsi="Arial" w:cs="Arial"/>
          <w:sz w:val="24"/>
          <w:szCs w:val="24"/>
        </w:rPr>
        <w:t xml:space="preserve"> em cada uma das faixas</w:t>
      </w:r>
      <w:r w:rsidR="00683128" w:rsidRPr="006D79F7">
        <w:rPr>
          <w:rFonts w:ascii="Arial" w:hAnsi="Arial" w:cs="Arial"/>
          <w:sz w:val="24"/>
          <w:szCs w:val="24"/>
        </w:rPr>
        <w:t xml:space="preserve"> para que </w:t>
      </w:r>
      <w:r w:rsidR="00F776F7" w:rsidRPr="006D79F7">
        <w:rPr>
          <w:rFonts w:ascii="Arial" w:hAnsi="Arial" w:cs="Arial"/>
          <w:sz w:val="24"/>
          <w:szCs w:val="24"/>
        </w:rPr>
        <w:t xml:space="preserve">o cliente tivesse um dado que pudesse </w:t>
      </w:r>
      <w:r w:rsidR="00184392" w:rsidRPr="006D79F7">
        <w:rPr>
          <w:rFonts w:ascii="Arial" w:hAnsi="Arial" w:cs="Arial"/>
          <w:sz w:val="24"/>
          <w:szCs w:val="24"/>
        </w:rPr>
        <w:t>direcioná-lo na mais provável de seu enquadramento</w:t>
      </w:r>
      <w:r w:rsidR="004E7CA3" w:rsidRPr="006D79F7">
        <w:rPr>
          <w:rFonts w:ascii="Arial" w:hAnsi="Arial" w:cs="Arial"/>
          <w:sz w:val="24"/>
          <w:szCs w:val="24"/>
        </w:rPr>
        <w:t xml:space="preserve">. Em discussões com o time do regulador foi entendido que </w:t>
      </w:r>
      <w:r w:rsidR="007072C9" w:rsidRPr="006D79F7">
        <w:rPr>
          <w:rFonts w:ascii="Arial" w:hAnsi="Arial" w:cs="Arial"/>
          <w:sz w:val="24"/>
          <w:szCs w:val="24"/>
        </w:rPr>
        <w:t>a identificação do cliente</w:t>
      </w:r>
      <w:r w:rsidR="004E7CA3" w:rsidRPr="006D79F7">
        <w:rPr>
          <w:rFonts w:ascii="Arial" w:hAnsi="Arial" w:cs="Arial"/>
          <w:sz w:val="24"/>
          <w:szCs w:val="24"/>
        </w:rPr>
        <w:t xml:space="preserve"> </w:t>
      </w:r>
      <w:r w:rsidR="007D7313" w:rsidRPr="006D79F7">
        <w:rPr>
          <w:rFonts w:ascii="Arial" w:hAnsi="Arial" w:cs="Arial"/>
          <w:sz w:val="24"/>
          <w:szCs w:val="24"/>
        </w:rPr>
        <w:t>seria mais clara caso as faixas apresentadas tivessem como referência o</w:t>
      </w:r>
      <w:r w:rsidR="00683128" w:rsidRPr="006D79F7">
        <w:rPr>
          <w:rFonts w:ascii="Arial" w:hAnsi="Arial" w:cs="Arial"/>
          <w:sz w:val="24"/>
          <w:szCs w:val="24"/>
        </w:rPr>
        <w:t xml:space="preserve"> LMI</w:t>
      </w:r>
      <w:r w:rsidR="00446299" w:rsidRPr="006D79F7">
        <w:rPr>
          <w:rFonts w:ascii="Arial" w:hAnsi="Arial" w:cs="Arial"/>
          <w:sz w:val="24"/>
          <w:szCs w:val="24"/>
        </w:rPr>
        <w:t>, o LMG</w:t>
      </w:r>
      <w:r w:rsidR="00683128" w:rsidRPr="006D79F7">
        <w:rPr>
          <w:rFonts w:ascii="Arial" w:hAnsi="Arial" w:cs="Arial"/>
          <w:sz w:val="24"/>
          <w:szCs w:val="24"/>
        </w:rPr>
        <w:t xml:space="preserve"> e Capital segurado</w:t>
      </w:r>
      <w:r w:rsidR="00E50A0D" w:rsidRPr="006D79F7">
        <w:rPr>
          <w:rFonts w:ascii="Arial" w:hAnsi="Arial" w:cs="Arial"/>
          <w:sz w:val="24"/>
          <w:szCs w:val="24"/>
        </w:rPr>
        <w:t xml:space="preserve">, </w:t>
      </w:r>
      <w:r w:rsidR="007072C9" w:rsidRPr="006D79F7">
        <w:rPr>
          <w:rFonts w:ascii="Arial" w:hAnsi="Arial" w:cs="Arial"/>
          <w:sz w:val="24"/>
          <w:szCs w:val="24"/>
        </w:rPr>
        <w:t>sugestão a qual foi acatada pelo mercado.</w:t>
      </w:r>
      <w:r w:rsidR="004013CC" w:rsidRPr="006D79F7">
        <w:rPr>
          <w:rFonts w:ascii="Arial" w:hAnsi="Arial" w:cs="Arial"/>
          <w:sz w:val="24"/>
          <w:szCs w:val="24"/>
        </w:rPr>
        <w:t xml:space="preserve"> Em conjunto durante as reuniões, foi entendido pelo mercado e pelo regulador de que a informação de porcentagem de apólices por faixa não mais agregaria e</w:t>
      </w:r>
      <w:r w:rsidR="00FD1E15" w:rsidRPr="006D79F7">
        <w:rPr>
          <w:rFonts w:ascii="Arial" w:hAnsi="Arial" w:cs="Arial"/>
          <w:sz w:val="24"/>
          <w:szCs w:val="24"/>
        </w:rPr>
        <w:t xml:space="preserve"> geraria um acúmulo de informações</w:t>
      </w:r>
      <w:r w:rsidR="0031365E" w:rsidRPr="006D79F7">
        <w:rPr>
          <w:rFonts w:ascii="Arial" w:hAnsi="Arial" w:cs="Arial"/>
          <w:sz w:val="24"/>
          <w:szCs w:val="24"/>
        </w:rPr>
        <w:t>, fazendo que os dados passassem de quantitativos para qualitativos</w:t>
      </w:r>
      <w:r w:rsidR="008348BA">
        <w:rPr>
          <w:rFonts w:ascii="Arial" w:hAnsi="Arial" w:cs="Arial"/>
          <w:sz w:val="24"/>
          <w:szCs w:val="24"/>
        </w:rPr>
        <w:t>,</w:t>
      </w:r>
      <w:r w:rsidR="00586230" w:rsidRPr="006D79F7">
        <w:rPr>
          <w:rFonts w:ascii="Arial" w:hAnsi="Arial" w:cs="Arial"/>
          <w:sz w:val="24"/>
          <w:szCs w:val="24"/>
        </w:rPr>
        <w:t xml:space="preserve"> o que </w:t>
      </w:r>
      <w:r w:rsidR="000C639B" w:rsidRPr="006D79F7">
        <w:rPr>
          <w:rFonts w:ascii="Arial" w:hAnsi="Arial" w:cs="Arial"/>
          <w:sz w:val="24"/>
          <w:szCs w:val="24"/>
        </w:rPr>
        <w:t xml:space="preserve">é prejudicial </w:t>
      </w:r>
      <w:r w:rsidR="00FD4EE2" w:rsidRPr="006D79F7">
        <w:rPr>
          <w:rFonts w:ascii="Arial" w:hAnsi="Arial" w:cs="Arial"/>
          <w:sz w:val="24"/>
          <w:szCs w:val="24"/>
        </w:rPr>
        <w:t xml:space="preserve">para análises de empresas </w:t>
      </w:r>
      <w:r w:rsidR="00AE1BC7" w:rsidRPr="006D79F7">
        <w:rPr>
          <w:rFonts w:ascii="Arial" w:hAnsi="Arial" w:cs="Arial"/>
          <w:sz w:val="24"/>
          <w:szCs w:val="24"/>
        </w:rPr>
        <w:t>que com mais informações ten</w:t>
      </w:r>
      <w:r w:rsidR="00FD621D" w:rsidRPr="006D79F7">
        <w:rPr>
          <w:rFonts w:ascii="Arial" w:hAnsi="Arial" w:cs="Arial"/>
          <w:sz w:val="24"/>
          <w:szCs w:val="24"/>
        </w:rPr>
        <w:t>d</w:t>
      </w:r>
      <w:r w:rsidR="00AE1BC7" w:rsidRPr="006D79F7">
        <w:rPr>
          <w:rFonts w:ascii="Arial" w:hAnsi="Arial" w:cs="Arial"/>
          <w:sz w:val="24"/>
          <w:szCs w:val="24"/>
        </w:rPr>
        <w:t xml:space="preserve">em a </w:t>
      </w:r>
      <w:r w:rsidR="00BC1B62" w:rsidRPr="006D79F7">
        <w:rPr>
          <w:rFonts w:ascii="Arial" w:hAnsi="Arial" w:cs="Arial"/>
          <w:sz w:val="24"/>
          <w:szCs w:val="24"/>
        </w:rPr>
        <w:t>tirar conclusões equivocadas como a qualidade dos produtos, conforme exemplificado por participante da reuni</w:t>
      </w:r>
      <w:r w:rsidR="00E900AB" w:rsidRPr="006D79F7">
        <w:rPr>
          <w:rFonts w:ascii="Arial" w:hAnsi="Arial" w:cs="Arial"/>
          <w:sz w:val="24"/>
          <w:szCs w:val="24"/>
        </w:rPr>
        <w:t xml:space="preserve">ão </w:t>
      </w:r>
      <w:r w:rsidR="007D4211" w:rsidRPr="006D79F7">
        <w:rPr>
          <w:rFonts w:ascii="Arial" w:hAnsi="Arial" w:cs="Arial"/>
          <w:sz w:val="24"/>
          <w:szCs w:val="24"/>
        </w:rPr>
        <w:t>intermediária Regulador e Mercado</w:t>
      </w:r>
      <w:r w:rsidR="00BC1B62" w:rsidRPr="006D79F7">
        <w:rPr>
          <w:rFonts w:ascii="Arial" w:hAnsi="Arial" w:cs="Arial"/>
          <w:sz w:val="24"/>
          <w:szCs w:val="24"/>
        </w:rPr>
        <w:t xml:space="preserve"> com experiências anteriores.</w:t>
      </w:r>
      <w:r w:rsidR="009336AF" w:rsidRPr="006D79F7">
        <w:rPr>
          <w:rFonts w:ascii="Arial" w:hAnsi="Arial" w:cs="Arial"/>
          <w:sz w:val="24"/>
          <w:szCs w:val="24"/>
        </w:rPr>
        <w:t xml:space="preserve"> </w:t>
      </w:r>
      <w:r w:rsidR="009336AF" w:rsidRPr="00765FD4">
        <w:rPr>
          <w:rFonts w:ascii="Arial" w:hAnsi="Arial" w:cs="Arial"/>
          <w:sz w:val="24"/>
          <w:szCs w:val="24"/>
        </w:rPr>
        <w:t xml:space="preserve">O mercado também se mostrou preocupado </w:t>
      </w:r>
      <w:r w:rsidR="00CD453A" w:rsidRPr="00765FD4">
        <w:rPr>
          <w:rFonts w:ascii="Arial" w:hAnsi="Arial" w:cs="Arial"/>
          <w:sz w:val="24"/>
          <w:szCs w:val="24"/>
        </w:rPr>
        <w:t>com possíveis violações da livre concorrência, uma vez que</w:t>
      </w:r>
      <w:r w:rsidR="00B1702E" w:rsidRPr="00765FD4">
        <w:rPr>
          <w:rFonts w:ascii="Arial" w:hAnsi="Arial" w:cs="Arial"/>
          <w:sz w:val="24"/>
          <w:szCs w:val="24"/>
        </w:rPr>
        <w:t xml:space="preserve"> serão </w:t>
      </w:r>
      <w:r w:rsidR="00CD453A" w:rsidRPr="00765FD4">
        <w:rPr>
          <w:rFonts w:ascii="Arial" w:hAnsi="Arial" w:cs="Arial"/>
          <w:sz w:val="24"/>
          <w:szCs w:val="24"/>
        </w:rPr>
        <w:t xml:space="preserve">disponibilizadas </w:t>
      </w:r>
      <w:r w:rsidR="008348BA" w:rsidRPr="00765FD4">
        <w:rPr>
          <w:rFonts w:ascii="Arial" w:hAnsi="Arial" w:cs="Arial"/>
          <w:sz w:val="24"/>
          <w:szCs w:val="24"/>
        </w:rPr>
        <w:t xml:space="preserve">informações que </w:t>
      </w:r>
      <w:r w:rsidR="00CD453A" w:rsidRPr="00765FD4">
        <w:rPr>
          <w:rFonts w:ascii="Arial" w:hAnsi="Arial" w:cs="Arial"/>
          <w:sz w:val="24"/>
          <w:szCs w:val="24"/>
        </w:rPr>
        <w:t>estão</w:t>
      </w:r>
      <w:r w:rsidR="00B44328" w:rsidRPr="00765FD4">
        <w:rPr>
          <w:rFonts w:ascii="Arial" w:hAnsi="Arial" w:cs="Arial"/>
          <w:sz w:val="24"/>
          <w:szCs w:val="24"/>
        </w:rPr>
        <w:t xml:space="preserve"> garantidas </w:t>
      </w:r>
      <w:r w:rsidR="00B1702E" w:rsidRPr="00765FD4">
        <w:rPr>
          <w:rFonts w:ascii="Arial" w:hAnsi="Arial" w:cs="Arial"/>
          <w:sz w:val="24"/>
          <w:szCs w:val="24"/>
        </w:rPr>
        <w:t xml:space="preserve">e caracterizadas como </w:t>
      </w:r>
      <w:r w:rsidR="00B44328" w:rsidRPr="00765FD4">
        <w:rPr>
          <w:rFonts w:ascii="Arial" w:hAnsi="Arial" w:cs="Arial"/>
          <w:sz w:val="24"/>
          <w:szCs w:val="24"/>
        </w:rPr>
        <w:t>segredos comercial e industrial e que podem violar a livre concorrência</w:t>
      </w:r>
      <w:r w:rsidR="00D47297" w:rsidRPr="00765FD4">
        <w:rPr>
          <w:rFonts w:ascii="Arial" w:hAnsi="Arial" w:cs="Arial"/>
          <w:sz w:val="24"/>
          <w:szCs w:val="24"/>
        </w:rPr>
        <w:t xml:space="preserve">. Tendo isso em vista, </w:t>
      </w:r>
      <w:r w:rsidR="009A1E53" w:rsidRPr="00765FD4">
        <w:rPr>
          <w:rFonts w:ascii="Arial" w:hAnsi="Arial" w:cs="Arial"/>
          <w:sz w:val="24"/>
          <w:szCs w:val="24"/>
        </w:rPr>
        <w:t>a proposta é que seja seguida a metodologia mencionada acima, sem a inclusão d</w:t>
      </w:r>
      <w:r w:rsidR="00163F73" w:rsidRPr="00765FD4">
        <w:rPr>
          <w:rFonts w:ascii="Arial" w:hAnsi="Arial" w:cs="Arial"/>
          <w:sz w:val="24"/>
          <w:szCs w:val="24"/>
        </w:rPr>
        <w:t>o dado de porcentagem de apólice</w:t>
      </w:r>
      <w:r w:rsidR="009A1E53" w:rsidRPr="00765FD4">
        <w:rPr>
          <w:rFonts w:ascii="Arial" w:hAnsi="Arial" w:cs="Arial"/>
          <w:sz w:val="24"/>
          <w:szCs w:val="24"/>
        </w:rPr>
        <w:t>, e que caso este se faça necessário após a implementação, que seja incluído em uma fase posterior.</w:t>
      </w:r>
    </w:p>
    <w:p w14:paraId="70416F38" w14:textId="19549FDF" w:rsidR="006A3196" w:rsidRDefault="006A3196" w:rsidP="006A319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85F079" w14:textId="39B353AA" w:rsidR="009069A7" w:rsidRDefault="009069A7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14:paraId="638C7AD2" w14:textId="4F9A56C1" w:rsidR="00333F2F" w:rsidRPr="006D79F7" w:rsidRDefault="005A5C88" w:rsidP="00F65607">
      <w:pPr>
        <w:pStyle w:val="Estilo1"/>
      </w:pPr>
      <w:bookmarkStart w:id="2" w:name="_Toc159511129"/>
      <w:bookmarkStart w:id="3" w:name="_Toc159927012"/>
      <w:r w:rsidRPr="006D79F7">
        <w:lastRenderedPageBreak/>
        <w:t xml:space="preserve">Premissa </w:t>
      </w:r>
      <w:r w:rsidR="00762880" w:rsidRPr="006D79F7">
        <w:t>p</w:t>
      </w:r>
      <w:r w:rsidRPr="006D79F7">
        <w:t>adrão</w:t>
      </w:r>
      <w:bookmarkEnd w:id="2"/>
      <w:bookmarkEnd w:id="3"/>
    </w:p>
    <w:p w14:paraId="7A2B15D5" w14:textId="77777777" w:rsidR="007948BE" w:rsidRPr="006D79F7" w:rsidRDefault="007948BE" w:rsidP="007948BE"/>
    <w:p w14:paraId="3FFEEB33" w14:textId="17B860DC" w:rsidR="007948BE" w:rsidRPr="006D79F7" w:rsidRDefault="007948BE" w:rsidP="007948B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Para que a informação seja clara </w:t>
      </w:r>
      <w:r w:rsidR="00773DA3" w:rsidRPr="006D79F7">
        <w:rPr>
          <w:rFonts w:ascii="Arial" w:hAnsi="Arial" w:cs="Arial"/>
          <w:sz w:val="24"/>
          <w:szCs w:val="24"/>
        </w:rPr>
        <w:t xml:space="preserve">e sejam transmitidos os pontos mais relevantes, foram criadas premissas </w:t>
      </w:r>
      <w:r w:rsidR="00EB7B13" w:rsidRPr="006D79F7">
        <w:rPr>
          <w:rFonts w:ascii="Arial" w:hAnsi="Arial" w:cs="Arial"/>
          <w:sz w:val="24"/>
          <w:szCs w:val="24"/>
        </w:rPr>
        <w:t>padronizadas para todos os produtos</w:t>
      </w:r>
      <w:r w:rsidR="004739A1" w:rsidRPr="006D79F7">
        <w:rPr>
          <w:rFonts w:ascii="Arial" w:hAnsi="Arial" w:cs="Arial"/>
          <w:sz w:val="24"/>
          <w:szCs w:val="24"/>
        </w:rPr>
        <w:t xml:space="preserve"> </w:t>
      </w:r>
      <w:r w:rsidR="0041741F" w:rsidRPr="006D79F7">
        <w:rPr>
          <w:rFonts w:ascii="Arial" w:hAnsi="Arial" w:cs="Arial"/>
          <w:sz w:val="24"/>
          <w:szCs w:val="24"/>
        </w:rPr>
        <w:t xml:space="preserve">visando um compartilhamento </w:t>
      </w:r>
      <w:r w:rsidR="00D91A39" w:rsidRPr="006D79F7">
        <w:rPr>
          <w:rFonts w:ascii="Arial" w:hAnsi="Arial" w:cs="Arial"/>
          <w:sz w:val="24"/>
          <w:szCs w:val="24"/>
        </w:rPr>
        <w:t xml:space="preserve">homogêneo </w:t>
      </w:r>
      <w:r w:rsidR="00FE7B32" w:rsidRPr="006D79F7">
        <w:rPr>
          <w:rFonts w:ascii="Arial" w:hAnsi="Arial" w:cs="Arial"/>
          <w:sz w:val="24"/>
          <w:szCs w:val="24"/>
        </w:rPr>
        <w:t>da</w:t>
      </w:r>
      <w:r w:rsidR="00D91A39" w:rsidRPr="006D79F7">
        <w:rPr>
          <w:rFonts w:ascii="Arial" w:hAnsi="Arial" w:cs="Arial"/>
          <w:sz w:val="24"/>
          <w:szCs w:val="24"/>
        </w:rPr>
        <w:t xml:space="preserve"> mesma informação</w:t>
      </w:r>
      <w:r w:rsidR="0041741F" w:rsidRPr="006D79F7">
        <w:rPr>
          <w:rFonts w:ascii="Arial" w:hAnsi="Arial" w:cs="Arial"/>
          <w:sz w:val="24"/>
          <w:szCs w:val="24"/>
        </w:rPr>
        <w:t>. Existem produtos que possuem premissas além das descritas nessa seção, estas estarão detalhadas especificamente nas seções dos</w:t>
      </w:r>
      <w:r w:rsidR="00851ADA" w:rsidRPr="006D79F7">
        <w:rPr>
          <w:rFonts w:ascii="Arial" w:hAnsi="Arial" w:cs="Arial"/>
          <w:sz w:val="24"/>
          <w:szCs w:val="24"/>
        </w:rPr>
        <w:t xml:space="preserve"> respectivos ramos.</w:t>
      </w:r>
      <w:r w:rsidR="00045A4D" w:rsidRPr="006D79F7">
        <w:rPr>
          <w:rFonts w:ascii="Arial" w:hAnsi="Arial" w:cs="Arial"/>
          <w:sz w:val="24"/>
          <w:szCs w:val="24"/>
        </w:rPr>
        <w:t xml:space="preserve"> Em casos excepcionais onde a premissa não se aplica há um determinado </w:t>
      </w:r>
      <w:r w:rsidR="00CF2C8C" w:rsidRPr="006D79F7">
        <w:rPr>
          <w:rFonts w:ascii="Arial" w:hAnsi="Arial" w:cs="Arial"/>
          <w:sz w:val="24"/>
          <w:szCs w:val="24"/>
        </w:rPr>
        <w:t>seguro, será sinalizado.</w:t>
      </w:r>
    </w:p>
    <w:p w14:paraId="3BF4F8F0" w14:textId="03256CF7" w:rsidR="007948BE" w:rsidRPr="006D79F7" w:rsidRDefault="007948BE" w:rsidP="008173B7">
      <w:pPr>
        <w:ind w:left="72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A</w:t>
      </w:r>
      <w:r w:rsidR="00CF2C8C" w:rsidRPr="006D79F7">
        <w:rPr>
          <w:rFonts w:ascii="Arial" w:hAnsi="Arial" w:cs="Arial"/>
          <w:sz w:val="24"/>
          <w:szCs w:val="24"/>
        </w:rPr>
        <w:t>s premissas propostas pelo grupo são:</w:t>
      </w:r>
    </w:p>
    <w:p w14:paraId="3C1DDA56" w14:textId="6D18868B" w:rsidR="00C23F51" w:rsidRPr="00271630" w:rsidRDefault="00C23F5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A informação será reportada somente para produtos individuais (Exceto Habitacional</w:t>
      </w:r>
      <w:r w:rsidR="00755F39" w:rsidRPr="006D79F7">
        <w:rPr>
          <w:rFonts w:ascii="Arial" w:hAnsi="Arial" w:cs="Arial"/>
          <w:sz w:val="24"/>
          <w:szCs w:val="24"/>
        </w:rPr>
        <w:t xml:space="preserve"> e Transportes</w:t>
      </w:r>
      <w:r w:rsidRPr="006D79F7">
        <w:rPr>
          <w:rFonts w:ascii="Arial" w:hAnsi="Arial" w:cs="Arial"/>
          <w:sz w:val="24"/>
          <w:szCs w:val="24"/>
        </w:rPr>
        <w:t>)</w:t>
      </w:r>
      <w:r w:rsidR="006E10AA">
        <w:rPr>
          <w:rFonts w:ascii="Arial" w:hAnsi="Arial" w:cs="Arial"/>
          <w:sz w:val="24"/>
          <w:szCs w:val="24"/>
        </w:rPr>
        <w:t xml:space="preserve">, </w:t>
      </w:r>
      <w:r w:rsidR="006E10AA" w:rsidRPr="00271630">
        <w:rPr>
          <w:rFonts w:ascii="Arial" w:hAnsi="Arial" w:cs="Arial"/>
          <w:sz w:val="24"/>
          <w:szCs w:val="24"/>
        </w:rPr>
        <w:t>ou seja, não são disponibilizadas as informações de seguros coletivos ou de produtos acessórios.</w:t>
      </w:r>
    </w:p>
    <w:p w14:paraId="6A000CB6" w14:textId="13ECA209" w:rsidR="00C23F51" w:rsidRPr="00765FD4" w:rsidRDefault="00C23F5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Haverá um acompanhamento da utilização desta informação pelas empresas não reguladas pela Susep</w:t>
      </w:r>
      <w:r w:rsidR="006A3196">
        <w:rPr>
          <w:rFonts w:ascii="Arial" w:hAnsi="Arial" w:cs="Arial"/>
          <w:sz w:val="24"/>
          <w:szCs w:val="24"/>
        </w:rPr>
        <w:t>.</w:t>
      </w:r>
    </w:p>
    <w:p w14:paraId="299D4182" w14:textId="39AF1E0D" w:rsidR="00C23F51" w:rsidRPr="00765FD4" w:rsidRDefault="00C23F5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Frequência de atualização </w:t>
      </w:r>
      <w:r w:rsidR="000C5FB7" w:rsidRPr="00765FD4">
        <w:rPr>
          <w:rFonts w:ascii="Arial" w:hAnsi="Arial" w:cs="Arial"/>
          <w:sz w:val="24"/>
          <w:szCs w:val="24"/>
        </w:rPr>
        <w:t xml:space="preserve">do valor do prêmio </w:t>
      </w:r>
      <w:r w:rsidRPr="00765FD4">
        <w:rPr>
          <w:rFonts w:ascii="Arial" w:hAnsi="Arial" w:cs="Arial"/>
          <w:sz w:val="24"/>
          <w:szCs w:val="24"/>
        </w:rPr>
        <w:t xml:space="preserve">será </w:t>
      </w:r>
      <w:r w:rsidR="000C5FB7" w:rsidRPr="00765FD4">
        <w:rPr>
          <w:rFonts w:ascii="Arial" w:hAnsi="Arial" w:cs="Arial"/>
          <w:sz w:val="24"/>
          <w:szCs w:val="24"/>
        </w:rPr>
        <w:t xml:space="preserve">de </w:t>
      </w:r>
      <w:r w:rsidRPr="00765FD4">
        <w:rPr>
          <w:rFonts w:ascii="Arial" w:hAnsi="Arial" w:cs="Arial"/>
          <w:sz w:val="24"/>
          <w:szCs w:val="24"/>
        </w:rPr>
        <w:t>120 dias</w:t>
      </w:r>
      <w:r w:rsidR="00E53FAE" w:rsidRPr="00765FD4">
        <w:rPr>
          <w:rFonts w:ascii="Arial" w:hAnsi="Arial" w:cs="Arial"/>
          <w:sz w:val="24"/>
          <w:szCs w:val="24"/>
        </w:rPr>
        <w:t xml:space="preserve"> (Exceto </w:t>
      </w:r>
      <w:r w:rsidR="000C5FB7" w:rsidRPr="00765FD4">
        <w:rPr>
          <w:rFonts w:ascii="Arial" w:hAnsi="Arial" w:cs="Arial"/>
          <w:sz w:val="24"/>
          <w:szCs w:val="24"/>
        </w:rPr>
        <w:t>Automóvel</w:t>
      </w:r>
      <w:r w:rsidR="00E53FAE" w:rsidRPr="00765FD4">
        <w:rPr>
          <w:rFonts w:ascii="Arial" w:hAnsi="Arial" w:cs="Arial"/>
          <w:sz w:val="24"/>
          <w:szCs w:val="24"/>
        </w:rPr>
        <w:t>)</w:t>
      </w:r>
      <w:r w:rsidR="0057736D" w:rsidRPr="00765FD4">
        <w:rPr>
          <w:rFonts w:ascii="Arial" w:hAnsi="Arial" w:cs="Arial"/>
          <w:sz w:val="24"/>
          <w:szCs w:val="24"/>
        </w:rPr>
        <w:t>.</w:t>
      </w:r>
    </w:p>
    <w:p w14:paraId="605525B2" w14:textId="240DE7C1" w:rsidR="006A3196" w:rsidRPr="00254884" w:rsidRDefault="00C23F51">
      <w:pPr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Serão desconsiderados os </w:t>
      </w:r>
      <w:r w:rsidRPr="00765FD4">
        <w:rPr>
          <w:rFonts w:ascii="Arial" w:hAnsi="Arial" w:cs="Arial"/>
          <w:i/>
          <w:iCs/>
          <w:sz w:val="24"/>
          <w:szCs w:val="24"/>
        </w:rPr>
        <w:t>outliers</w:t>
      </w:r>
      <w:r w:rsidR="00D9322D" w:rsidRPr="00765FD4">
        <w:rPr>
          <w:rFonts w:ascii="Arial" w:hAnsi="Arial" w:cs="Arial"/>
          <w:sz w:val="24"/>
          <w:szCs w:val="24"/>
        </w:rPr>
        <w:t xml:space="preserve">. Considera-se </w:t>
      </w:r>
      <w:r w:rsidR="00D9322D" w:rsidRPr="00765FD4">
        <w:rPr>
          <w:rFonts w:ascii="Arial" w:hAnsi="Arial" w:cs="Arial"/>
          <w:i/>
          <w:iCs/>
          <w:sz w:val="24"/>
          <w:szCs w:val="24"/>
        </w:rPr>
        <w:t>outliers</w:t>
      </w:r>
      <w:r w:rsidR="00D9322D" w:rsidRPr="00765FD4">
        <w:rPr>
          <w:rFonts w:ascii="Arial" w:hAnsi="Arial" w:cs="Arial"/>
          <w:sz w:val="24"/>
          <w:szCs w:val="24"/>
        </w:rPr>
        <w:t xml:space="preserve"> a porcentagem de </w:t>
      </w:r>
      <w:r w:rsidR="009B43EE" w:rsidRPr="00765FD4">
        <w:rPr>
          <w:rFonts w:ascii="Arial" w:hAnsi="Arial" w:cs="Arial"/>
          <w:sz w:val="24"/>
          <w:szCs w:val="24"/>
        </w:rPr>
        <w:t>2,5</w:t>
      </w:r>
      <w:r w:rsidR="00D9322D" w:rsidRPr="00765FD4">
        <w:rPr>
          <w:rFonts w:ascii="Arial" w:hAnsi="Arial" w:cs="Arial"/>
          <w:sz w:val="24"/>
          <w:szCs w:val="24"/>
        </w:rPr>
        <w:t xml:space="preserve">% </w:t>
      </w:r>
      <w:r w:rsidR="00CC27A1" w:rsidRPr="00765FD4">
        <w:rPr>
          <w:rFonts w:ascii="Arial" w:hAnsi="Arial" w:cs="Arial"/>
          <w:sz w:val="24"/>
          <w:szCs w:val="24"/>
        </w:rPr>
        <w:t>dos maiores prêmios</w:t>
      </w:r>
      <w:r w:rsidR="00CC0395" w:rsidRPr="00765FD4">
        <w:rPr>
          <w:rFonts w:ascii="Arial" w:hAnsi="Arial" w:cs="Arial"/>
          <w:sz w:val="24"/>
          <w:szCs w:val="24"/>
        </w:rPr>
        <w:t xml:space="preserve"> e</w:t>
      </w:r>
      <w:r w:rsidR="00A411B4" w:rsidRPr="00765FD4">
        <w:rPr>
          <w:rFonts w:ascii="Arial" w:hAnsi="Arial" w:cs="Arial"/>
          <w:sz w:val="24"/>
          <w:szCs w:val="24"/>
        </w:rPr>
        <w:t xml:space="preserve"> 2,5% </w:t>
      </w:r>
      <w:r w:rsidR="00CC27A1" w:rsidRPr="00765FD4">
        <w:rPr>
          <w:rFonts w:ascii="Arial" w:hAnsi="Arial" w:cs="Arial"/>
          <w:sz w:val="24"/>
          <w:szCs w:val="24"/>
        </w:rPr>
        <w:t>dos menores prêmios</w:t>
      </w:r>
      <w:r w:rsidR="00CC0395" w:rsidRPr="00765FD4">
        <w:rPr>
          <w:rFonts w:ascii="Arial" w:hAnsi="Arial" w:cs="Arial"/>
          <w:sz w:val="24"/>
          <w:szCs w:val="24"/>
        </w:rPr>
        <w:t xml:space="preserve"> de cada uma das faixas.</w:t>
      </w:r>
      <w:r w:rsidR="006A3196" w:rsidRPr="00765FD4">
        <w:rPr>
          <w:rFonts w:ascii="Arial" w:hAnsi="Arial" w:cs="Arial"/>
          <w:sz w:val="24"/>
          <w:szCs w:val="24"/>
        </w:rPr>
        <w:t xml:space="preserve"> </w:t>
      </w:r>
    </w:p>
    <w:p w14:paraId="6CAD49A1" w14:textId="0CF2216E" w:rsidR="00CE4499" w:rsidRPr="006D79F7" w:rsidRDefault="00CE4499">
      <w:pPr>
        <w:rPr>
          <w:rFonts w:ascii="Arial" w:eastAsiaTheme="majorEastAsia" w:hAnsi="Arial" w:cstheme="majorBidi"/>
          <w:b/>
          <w:sz w:val="24"/>
          <w:szCs w:val="32"/>
        </w:rPr>
      </w:pPr>
    </w:p>
    <w:p w14:paraId="2DA969F5" w14:textId="77777777" w:rsidR="009069A7" w:rsidRDefault="009069A7">
      <w:pPr>
        <w:rPr>
          <w:rFonts w:ascii="Arial" w:eastAsiaTheme="majorEastAsia" w:hAnsi="Arial" w:cstheme="majorBidi"/>
          <w:b/>
          <w:i/>
          <w:iCs/>
          <w:sz w:val="24"/>
          <w:szCs w:val="32"/>
        </w:rPr>
      </w:pPr>
      <w:bookmarkStart w:id="4" w:name="_Toc159511130"/>
      <w:r>
        <w:rPr>
          <w:i/>
          <w:iCs/>
        </w:rPr>
        <w:br w:type="page"/>
      </w:r>
    </w:p>
    <w:p w14:paraId="29EB5201" w14:textId="0F3CE1A7" w:rsidR="00234BA9" w:rsidRPr="006D79F7" w:rsidRDefault="00234BA9" w:rsidP="008757EB">
      <w:pPr>
        <w:pStyle w:val="Estilo1"/>
      </w:pPr>
      <w:bookmarkStart w:id="5" w:name="_Toc159927013"/>
      <w:proofErr w:type="spellStart"/>
      <w:r w:rsidRPr="004557EA">
        <w:rPr>
          <w:i/>
          <w:iCs/>
        </w:rPr>
        <w:lastRenderedPageBreak/>
        <w:t>Disclaimer</w:t>
      </w:r>
      <w:proofErr w:type="spellEnd"/>
      <w:r w:rsidRPr="00F17372">
        <w:t xml:space="preserve"> </w:t>
      </w:r>
      <w:r w:rsidRPr="006D79F7">
        <w:t>padrão</w:t>
      </w:r>
      <w:bookmarkEnd w:id="4"/>
      <w:bookmarkEnd w:id="5"/>
    </w:p>
    <w:p w14:paraId="2CE91ECE" w14:textId="77777777" w:rsidR="00D36625" w:rsidRPr="006D79F7" w:rsidRDefault="00D36625" w:rsidP="00D36625"/>
    <w:p w14:paraId="04051F7B" w14:textId="23FA529B" w:rsidR="00985D8E" w:rsidRPr="006D79F7" w:rsidRDefault="00985D8E" w:rsidP="002C395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Para maior compreensão das empresas que consumirão estes dados e consequentemente clientes finais que visualiza</w:t>
      </w:r>
      <w:r w:rsidR="00650356" w:rsidRPr="006D79F7">
        <w:rPr>
          <w:rFonts w:ascii="Arial" w:hAnsi="Arial" w:cs="Arial"/>
          <w:sz w:val="24"/>
          <w:szCs w:val="24"/>
        </w:rPr>
        <w:t>r</w:t>
      </w:r>
      <w:r w:rsidRPr="006D79F7">
        <w:rPr>
          <w:rFonts w:ascii="Arial" w:hAnsi="Arial" w:cs="Arial"/>
          <w:sz w:val="24"/>
          <w:szCs w:val="24"/>
        </w:rPr>
        <w:t>ão estas informações</w:t>
      </w:r>
      <w:r w:rsidR="009F58FB" w:rsidRPr="006D79F7">
        <w:rPr>
          <w:rFonts w:ascii="Arial" w:hAnsi="Arial" w:cs="Arial"/>
          <w:sz w:val="24"/>
          <w:szCs w:val="24"/>
        </w:rPr>
        <w:t>,</w:t>
      </w:r>
      <w:r w:rsidRPr="006D79F7">
        <w:rPr>
          <w:rFonts w:ascii="Arial" w:hAnsi="Arial" w:cs="Arial"/>
          <w:sz w:val="24"/>
          <w:szCs w:val="24"/>
        </w:rPr>
        <w:t xml:space="preserve"> o mercado determinou alguns </w:t>
      </w:r>
      <w:proofErr w:type="spellStart"/>
      <w:r w:rsidRPr="006D79F7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Pr="006D79F7">
        <w:rPr>
          <w:rFonts w:ascii="Arial" w:hAnsi="Arial" w:cs="Arial"/>
          <w:sz w:val="24"/>
          <w:szCs w:val="24"/>
        </w:rPr>
        <w:t xml:space="preserve"> a serem enviados </w:t>
      </w:r>
      <w:r w:rsidR="00415F52" w:rsidRPr="006D79F7">
        <w:rPr>
          <w:rFonts w:ascii="Arial" w:hAnsi="Arial" w:cs="Arial"/>
          <w:sz w:val="24"/>
          <w:szCs w:val="24"/>
        </w:rPr>
        <w:t>juntos aos dado</w:t>
      </w:r>
      <w:r w:rsidR="00AE6E41" w:rsidRPr="006D79F7">
        <w:rPr>
          <w:rFonts w:ascii="Arial" w:hAnsi="Arial" w:cs="Arial"/>
          <w:sz w:val="24"/>
          <w:szCs w:val="24"/>
        </w:rPr>
        <w:t xml:space="preserve">s. </w:t>
      </w:r>
      <w:r w:rsidR="00415F52" w:rsidRPr="006D79F7">
        <w:rPr>
          <w:rFonts w:ascii="Arial" w:hAnsi="Arial" w:cs="Arial"/>
          <w:sz w:val="24"/>
          <w:szCs w:val="24"/>
        </w:rPr>
        <w:t xml:space="preserve"> </w:t>
      </w:r>
      <w:r w:rsidR="0030611E" w:rsidRPr="006D79F7">
        <w:rPr>
          <w:rFonts w:ascii="Arial" w:hAnsi="Arial" w:cs="Arial"/>
          <w:sz w:val="24"/>
          <w:szCs w:val="24"/>
        </w:rPr>
        <w:t>A</w:t>
      </w:r>
      <w:r w:rsidR="00415F52" w:rsidRPr="006D79F7">
        <w:rPr>
          <w:rFonts w:ascii="Arial" w:hAnsi="Arial" w:cs="Arial"/>
          <w:sz w:val="24"/>
          <w:szCs w:val="24"/>
        </w:rPr>
        <w:t xml:space="preserve">s informações </w:t>
      </w:r>
      <w:r w:rsidR="0030611E" w:rsidRPr="006D79F7">
        <w:rPr>
          <w:rFonts w:ascii="Arial" w:hAnsi="Arial" w:cs="Arial"/>
          <w:sz w:val="24"/>
          <w:szCs w:val="24"/>
        </w:rPr>
        <w:t xml:space="preserve">nesta seção </w:t>
      </w:r>
      <w:r w:rsidR="00415F52" w:rsidRPr="006D79F7">
        <w:rPr>
          <w:rFonts w:ascii="Arial" w:hAnsi="Arial" w:cs="Arial"/>
          <w:sz w:val="24"/>
          <w:szCs w:val="24"/>
        </w:rPr>
        <w:t>se</w:t>
      </w:r>
      <w:r w:rsidR="00976D78" w:rsidRPr="006D79F7">
        <w:rPr>
          <w:rFonts w:ascii="Arial" w:hAnsi="Arial" w:cs="Arial"/>
          <w:sz w:val="24"/>
          <w:szCs w:val="24"/>
        </w:rPr>
        <w:t xml:space="preserve"> aplicam a todos os produtos, podendo existir </w:t>
      </w:r>
      <w:proofErr w:type="spellStart"/>
      <w:r w:rsidR="00976D78" w:rsidRPr="006D79F7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="00976D78" w:rsidRPr="006D79F7">
        <w:rPr>
          <w:rFonts w:ascii="Arial" w:hAnsi="Arial" w:cs="Arial"/>
          <w:sz w:val="24"/>
          <w:szCs w:val="24"/>
        </w:rPr>
        <w:t xml:space="preserve"> específicos para determinados </w:t>
      </w:r>
      <w:r w:rsidR="00B33CDC" w:rsidRPr="006D79F7">
        <w:rPr>
          <w:rFonts w:ascii="Arial" w:hAnsi="Arial" w:cs="Arial"/>
          <w:sz w:val="24"/>
          <w:szCs w:val="24"/>
        </w:rPr>
        <w:t xml:space="preserve">ramos como </w:t>
      </w:r>
      <w:r w:rsidR="00FD2509" w:rsidRPr="006D79F7">
        <w:rPr>
          <w:rFonts w:ascii="Arial" w:hAnsi="Arial" w:cs="Arial"/>
          <w:sz w:val="24"/>
          <w:szCs w:val="24"/>
        </w:rPr>
        <w:t>constam na seção “Detalhamento das Propostas e Exceções”</w:t>
      </w:r>
      <w:r w:rsidR="00D36386" w:rsidRPr="006D79F7">
        <w:rPr>
          <w:rFonts w:ascii="Arial" w:hAnsi="Arial" w:cs="Arial"/>
          <w:sz w:val="24"/>
          <w:szCs w:val="24"/>
        </w:rPr>
        <w:t xml:space="preserve">. </w:t>
      </w:r>
      <w:r w:rsidR="004B5EB4" w:rsidRPr="00765FD4">
        <w:rPr>
          <w:rFonts w:ascii="Arial" w:hAnsi="Arial" w:cs="Arial"/>
          <w:sz w:val="24"/>
          <w:szCs w:val="24"/>
        </w:rPr>
        <w:t>Em “esclarecimentos adicionais”</w:t>
      </w:r>
      <w:r w:rsidR="00D36386" w:rsidRPr="00765FD4">
        <w:rPr>
          <w:rFonts w:ascii="Arial" w:hAnsi="Arial" w:cs="Arial"/>
          <w:sz w:val="24"/>
          <w:szCs w:val="24"/>
        </w:rPr>
        <w:t xml:space="preserve"> </w:t>
      </w:r>
      <w:r w:rsidR="001705C2" w:rsidRPr="00765FD4">
        <w:rPr>
          <w:rFonts w:ascii="Arial" w:hAnsi="Arial" w:cs="Arial"/>
          <w:sz w:val="24"/>
          <w:szCs w:val="24"/>
        </w:rPr>
        <w:t>dessa mesma seção do documento haverá algumas</w:t>
      </w:r>
      <w:r w:rsidR="00D36386" w:rsidRPr="00765FD4">
        <w:rPr>
          <w:rFonts w:ascii="Arial" w:hAnsi="Arial" w:cs="Arial"/>
          <w:sz w:val="24"/>
          <w:szCs w:val="24"/>
        </w:rPr>
        <w:t xml:space="preserve"> explicações dos motivos que levaram o mercado a criar os </w:t>
      </w:r>
      <w:proofErr w:type="spellStart"/>
      <w:r w:rsidR="00D36386" w:rsidRPr="00765FD4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="002347A2" w:rsidRPr="00765FD4">
        <w:rPr>
          <w:rFonts w:ascii="Arial" w:hAnsi="Arial" w:cs="Arial"/>
          <w:sz w:val="24"/>
          <w:szCs w:val="24"/>
        </w:rPr>
        <w:t xml:space="preserve"> para facilitação dos leitores deste documento,</w:t>
      </w:r>
      <w:r w:rsidR="00D36386" w:rsidRPr="00765FD4">
        <w:rPr>
          <w:rFonts w:ascii="Arial" w:hAnsi="Arial" w:cs="Arial"/>
          <w:sz w:val="24"/>
          <w:szCs w:val="24"/>
        </w:rPr>
        <w:t xml:space="preserve"> não sendo necessário envi</w:t>
      </w:r>
      <w:r w:rsidR="002347A2" w:rsidRPr="00765FD4">
        <w:rPr>
          <w:rFonts w:ascii="Arial" w:hAnsi="Arial" w:cs="Arial"/>
          <w:sz w:val="24"/>
          <w:szCs w:val="24"/>
        </w:rPr>
        <w:t>á-los.</w:t>
      </w:r>
    </w:p>
    <w:p w14:paraId="01F13869" w14:textId="6728B20B" w:rsidR="000B1106" w:rsidRPr="00703C3D" w:rsidRDefault="00364D53" w:rsidP="00703C3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Notas padrão para todos os produtos que terão o campo “Taxa de prêmi</w:t>
      </w:r>
      <w:r w:rsidR="00650356" w:rsidRPr="006D79F7">
        <w:rPr>
          <w:rFonts w:ascii="Arial" w:hAnsi="Arial" w:cs="Arial"/>
          <w:sz w:val="24"/>
          <w:szCs w:val="24"/>
        </w:rPr>
        <w:t>o”</w:t>
      </w:r>
      <w:r w:rsidR="00D91AE3" w:rsidRPr="006D79F7">
        <w:rPr>
          <w:rFonts w:ascii="Arial" w:hAnsi="Arial" w:cs="Arial"/>
          <w:sz w:val="24"/>
          <w:szCs w:val="24"/>
        </w:rPr>
        <w:t xml:space="preserve"> </w:t>
      </w:r>
      <w:r w:rsidR="00650356" w:rsidRPr="006D79F7">
        <w:rPr>
          <w:rFonts w:ascii="Arial" w:hAnsi="Arial" w:cs="Arial"/>
          <w:sz w:val="24"/>
          <w:szCs w:val="24"/>
        </w:rPr>
        <w:t>ou “Taxa de Contr</w:t>
      </w:r>
      <w:r w:rsidR="00D91AE3" w:rsidRPr="006D79F7">
        <w:rPr>
          <w:rFonts w:ascii="Arial" w:hAnsi="Arial" w:cs="Arial"/>
          <w:sz w:val="24"/>
          <w:szCs w:val="24"/>
        </w:rPr>
        <w:t>ibuição”</w:t>
      </w:r>
      <w:r w:rsidRPr="006D79F7">
        <w:rPr>
          <w:rFonts w:ascii="Arial" w:hAnsi="Arial" w:cs="Arial"/>
          <w:sz w:val="24"/>
          <w:szCs w:val="24"/>
        </w:rPr>
        <w:t xml:space="preserve"> preenchid</w:t>
      </w:r>
      <w:r w:rsidR="0003199A" w:rsidRPr="006D79F7">
        <w:rPr>
          <w:rFonts w:ascii="Arial" w:hAnsi="Arial" w:cs="Arial"/>
          <w:sz w:val="24"/>
          <w:szCs w:val="24"/>
        </w:rPr>
        <w:t>os:</w:t>
      </w:r>
    </w:p>
    <w:p w14:paraId="11743CEC" w14:textId="05D8F576" w:rsidR="002D6A17" w:rsidRPr="00765FD4" w:rsidRDefault="002D6A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O campo “Taxa de Prêmio” ou “Taxa de Contribuição” é apenas para referência sobre</w:t>
      </w:r>
      <w:r w:rsidR="003E115E" w:rsidRPr="00765FD4">
        <w:rPr>
          <w:rFonts w:ascii="Arial" w:hAnsi="Arial" w:cs="Arial"/>
          <w:sz w:val="24"/>
          <w:szCs w:val="24"/>
        </w:rPr>
        <w:t xml:space="preserve"> </w:t>
      </w:r>
      <w:r w:rsidRPr="00765FD4">
        <w:rPr>
          <w:rFonts w:ascii="Arial" w:hAnsi="Arial" w:cs="Arial"/>
          <w:sz w:val="24"/>
          <w:szCs w:val="24"/>
        </w:rPr>
        <w:t>o valor praticado no mercado para determinado produto e faixa</w:t>
      </w:r>
      <w:r w:rsidR="00670E5E" w:rsidRPr="00765FD4">
        <w:rPr>
          <w:rFonts w:ascii="Arial" w:hAnsi="Arial" w:cs="Arial"/>
          <w:sz w:val="24"/>
          <w:szCs w:val="24"/>
        </w:rPr>
        <w:t>s</w:t>
      </w:r>
      <w:r w:rsidRPr="00765FD4">
        <w:rPr>
          <w:rFonts w:ascii="Arial" w:hAnsi="Arial" w:cs="Arial"/>
          <w:sz w:val="24"/>
          <w:szCs w:val="24"/>
        </w:rPr>
        <w:t xml:space="preserve"> de </w:t>
      </w:r>
      <w:r w:rsidR="00670E5E" w:rsidRPr="00765FD4">
        <w:rPr>
          <w:rFonts w:ascii="Arial" w:hAnsi="Arial" w:cs="Arial"/>
          <w:sz w:val="24"/>
          <w:szCs w:val="24"/>
        </w:rPr>
        <w:t>risco</w:t>
      </w:r>
      <w:r w:rsidRPr="00765FD4">
        <w:rPr>
          <w:rFonts w:ascii="Arial" w:hAnsi="Arial" w:cs="Arial"/>
          <w:sz w:val="24"/>
          <w:szCs w:val="24"/>
        </w:rPr>
        <w:t>, servindo apenas como estimativa, e não representa o valor que será aplicado na cotação</w:t>
      </w:r>
      <w:r w:rsidR="00EC27FD" w:rsidRPr="00765FD4">
        <w:rPr>
          <w:rFonts w:ascii="Arial" w:hAnsi="Arial" w:cs="Arial"/>
          <w:sz w:val="24"/>
          <w:szCs w:val="24"/>
        </w:rPr>
        <w:t xml:space="preserve"> do caso específico do cliente</w:t>
      </w:r>
      <w:r w:rsidRPr="00765FD4">
        <w:rPr>
          <w:rFonts w:ascii="Arial" w:hAnsi="Arial" w:cs="Arial"/>
          <w:sz w:val="24"/>
          <w:szCs w:val="24"/>
        </w:rPr>
        <w:t xml:space="preserve">. </w:t>
      </w:r>
      <w:r w:rsidR="00D54D73" w:rsidRPr="00271630">
        <w:rPr>
          <w:rFonts w:ascii="Arial" w:hAnsi="Arial" w:cs="Arial"/>
          <w:sz w:val="24"/>
          <w:szCs w:val="24"/>
        </w:rPr>
        <w:t>O preço do seguro</w:t>
      </w:r>
      <w:r w:rsidR="00D54D73">
        <w:rPr>
          <w:rFonts w:ascii="Arial" w:hAnsi="Arial" w:cs="Arial"/>
          <w:sz w:val="24"/>
          <w:szCs w:val="24"/>
        </w:rPr>
        <w:t xml:space="preserve"> </w:t>
      </w:r>
      <w:r w:rsidRPr="00765FD4">
        <w:rPr>
          <w:rFonts w:ascii="Arial" w:hAnsi="Arial" w:cs="Arial"/>
          <w:sz w:val="24"/>
          <w:szCs w:val="24"/>
        </w:rPr>
        <w:t>leva em consideração diversos fatores e variáveis, e o valor ofertado na cotação/proposta da Seguradora/EAPC</w:t>
      </w:r>
      <w:r w:rsidR="00DE0501" w:rsidRPr="00DE0501">
        <w:rPr>
          <w:rFonts w:ascii="Arial" w:hAnsi="Arial" w:cs="Arial"/>
          <w:sz w:val="24"/>
          <w:szCs w:val="24"/>
        </w:rPr>
        <w:t xml:space="preserve"> </w:t>
      </w:r>
      <w:r w:rsidRPr="00765FD4">
        <w:rPr>
          <w:rFonts w:ascii="Arial" w:hAnsi="Arial" w:cs="Arial"/>
          <w:sz w:val="24"/>
          <w:szCs w:val="24"/>
        </w:rPr>
        <w:t>é a que prevalecerá.</w:t>
      </w:r>
      <w:r w:rsidR="00EC27FD" w:rsidRPr="00765FD4">
        <w:rPr>
          <w:rFonts w:ascii="Arial" w:hAnsi="Arial" w:cs="Arial"/>
          <w:sz w:val="24"/>
          <w:szCs w:val="24"/>
        </w:rPr>
        <w:t xml:space="preserve"> </w:t>
      </w:r>
      <w:r w:rsidR="00A23F74" w:rsidRPr="00765FD4">
        <w:rPr>
          <w:rFonts w:ascii="Arial" w:hAnsi="Arial" w:cs="Arial"/>
          <w:sz w:val="24"/>
          <w:szCs w:val="24"/>
        </w:rPr>
        <w:t>Desse modo, e</w:t>
      </w:r>
      <w:r w:rsidR="00EC27FD" w:rsidRPr="00765FD4">
        <w:rPr>
          <w:rFonts w:ascii="Arial" w:hAnsi="Arial" w:cs="Arial"/>
          <w:sz w:val="24"/>
          <w:szCs w:val="24"/>
        </w:rPr>
        <w:t>ste valor NÃO substitui uma cotação e NÃO garante a aceitação do risco do cliente</w:t>
      </w:r>
      <w:r w:rsidR="00A5725F" w:rsidRPr="00765FD4">
        <w:rPr>
          <w:rFonts w:ascii="Arial" w:hAnsi="Arial" w:cs="Arial"/>
          <w:sz w:val="24"/>
          <w:szCs w:val="24"/>
        </w:rPr>
        <w:t>.</w:t>
      </w:r>
    </w:p>
    <w:p w14:paraId="6CD00F76" w14:textId="5DD3B1E9" w:rsidR="0003199A" w:rsidRPr="006A3196" w:rsidRDefault="00393154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Para os produtos cujo LMI</w:t>
      </w:r>
      <w:r w:rsidR="00142689" w:rsidRPr="006D79F7">
        <w:rPr>
          <w:rFonts w:ascii="Arial" w:hAnsi="Arial" w:cs="Arial"/>
          <w:sz w:val="24"/>
          <w:szCs w:val="24"/>
        </w:rPr>
        <w:t>, L</w:t>
      </w:r>
      <w:r w:rsidR="00142689" w:rsidRPr="00765FD4">
        <w:rPr>
          <w:rFonts w:ascii="Arial" w:hAnsi="Arial" w:cs="Arial"/>
          <w:sz w:val="24"/>
          <w:szCs w:val="24"/>
        </w:rPr>
        <w:t>MG</w:t>
      </w:r>
      <w:r w:rsidRPr="00765FD4">
        <w:rPr>
          <w:rFonts w:ascii="Arial" w:hAnsi="Arial" w:cs="Arial"/>
          <w:sz w:val="24"/>
          <w:szCs w:val="24"/>
        </w:rPr>
        <w:t xml:space="preserve"> ou Capital Segurado transpassem da faixa máxima apresentada é necessário contatar diretamente </w:t>
      </w:r>
      <w:r w:rsidR="0027064A" w:rsidRPr="00765FD4">
        <w:rPr>
          <w:rFonts w:ascii="Arial" w:hAnsi="Arial" w:cs="Arial"/>
          <w:sz w:val="24"/>
          <w:szCs w:val="24"/>
        </w:rPr>
        <w:t xml:space="preserve">o </w:t>
      </w:r>
      <w:r w:rsidRPr="00765FD4">
        <w:rPr>
          <w:rFonts w:ascii="Arial" w:hAnsi="Arial" w:cs="Arial"/>
          <w:sz w:val="24"/>
          <w:szCs w:val="24"/>
        </w:rPr>
        <w:t xml:space="preserve">seu </w:t>
      </w:r>
      <w:r w:rsidR="00C914B1" w:rsidRPr="00765FD4">
        <w:rPr>
          <w:rFonts w:ascii="Arial" w:hAnsi="Arial" w:cs="Arial"/>
          <w:sz w:val="24"/>
          <w:szCs w:val="24"/>
        </w:rPr>
        <w:t>intermediador</w:t>
      </w:r>
      <w:r w:rsidR="0002565D">
        <w:rPr>
          <w:rFonts w:ascii="Arial" w:hAnsi="Arial" w:cs="Arial"/>
          <w:sz w:val="24"/>
          <w:szCs w:val="24"/>
        </w:rPr>
        <w:t xml:space="preserve"> </w:t>
      </w:r>
      <w:r w:rsidR="0002565D" w:rsidRPr="00271630">
        <w:rPr>
          <w:rFonts w:ascii="Arial" w:hAnsi="Arial" w:cs="Arial"/>
          <w:sz w:val="24"/>
          <w:szCs w:val="24"/>
        </w:rPr>
        <w:t>(corretor)</w:t>
      </w:r>
      <w:r w:rsidR="00C914B1" w:rsidRPr="00765FD4">
        <w:rPr>
          <w:rFonts w:ascii="Arial" w:hAnsi="Arial" w:cs="Arial"/>
          <w:sz w:val="24"/>
          <w:szCs w:val="24"/>
        </w:rPr>
        <w:t xml:space="preserve"> </w:t>
      </w:r>
      <w:r w:rsidR="00C5546D" w:rsidRPr="00765FD4">
        <w:rPr>
          <w:rFonts w:ascii="Arial" w:hAnsi="Arial" w:cs="Arial"/>
          <w:sz w:val="24"/>
          <w:szCs w:val="24"/>
        </w:rPr>
        <w:t>ou</w:t>
      </w:r>
      <w:r w:rsidRPr="00765FD4">
        <w:rPr>
          <w:rFonts w:ascii="Arial" w:hAnsi="Arial" w:cs="Arial"/>
          <w:sz w:val="24"/>
          <w:szCs w:val="24"/>
        </w:rPr>
        <w:t xml:space="preserve"> a</w:t>
      </w:r>
      <w:r w:rsidR="0027064A" w:rsidRPr="00765FD4">
        <w:rPr>
          <w:rFonts w:ascii="Arial" w:hAnsi="Arial" w:cs="Arial"/>
          <w:sz w:val="24"/>
          <w:szCs w:val="24"/>
        </w:rPr>
        <w:t xml:space="preserve"> sua</w:t>
      </w:r>
      <w:r w:rsidRPr="00765FD4">
        <w:rPr>
          <w:rFonts w:ascii="Arial" w:hAnsi="Arial" w:cs="Arial"/>
          <w:sz w:val="24"/>
          <w:szCs w:val="24"/>
        </w:rPr>
        <w:t xml:space="preserve"> seguradora para que seja realizada uma cotaçã</w:t>
      </w:r>
      <w:r w:rsidR="00265C0F" w:rsidRPr="00765FD4">
        <w:rPr>
          <w:rFonts w:ascii="Arial" w:hAnsi="Arial" w:cs="Arial"/>
          <w:sz w:val="24"/>
          <w:szCs w:val="24"/>
        </w:rPr>
        <w:t xml:space="preserve">o adequada e uma estimativa de valor correta seja transmitida. </w:t>
      </w:r>
    </w:p>
    <w:p w14:paraId="06808ADF" w14:textId="3A3E0B15" w:rsidR="0003199A" w:rsidRPr="00765FD4" w:rsidRDefault="00CE449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Esta informação não </w:t>
      </w:r>
      <w:r w:rsidR="00DF47D2" w:rsidRPr="00765FD4">
        <w:rPr>
          <w:rFonts w:ascii="Arial" w:hAnsi="Arial" w:cs="Arial"/>
          <w:sz w:val="24"/>
          <w:szCs w:val="24"/>
        </w:rPr>
        <w:t>está</w:t>
      </w:r>
      <w:r w:rsidRPr="00765FD4">
        <w:rPr>
          <w:rFonts w:ascii="Arial" w:hAnsi="Arial" w:cs="Arial"/>
          <w:sz w:val="24"/>
          <w:szCs w:val="24"/>
        </w:rPr>
        <w:t xml:space="preserve"> sendo reportada para produtos que não são comercializados de forma individual, ou seja, </w:t>
      </w:r>
      <w:r w:rsidR="00A5725F" w:rsidRPr="00765FD4">
        <w:rPr>
          <w:rFonts w:ascii="Arial" w:hAnsi="Arial" w:cs="Arial"/>
          <w:sz w:val="24"/>
          <w:szCs w:val="24"/>
        </w:rPr>
        <w:t xml:space="preserve">não são disponibilizadas as informações de seguros coletivos </w:t>
      </w:r>
      <w:r w:rsidR="00765FD4" w:rsidRPr="006D79F7">
        <w:rPr>
          <w:rFonts w:ascii="Arial" w:hAnsi="Arial" w:cs="Arial"/>
          <w:sz w:val="24"/>
          <w:szCs w:val="24"/>
        </w:rPr>
        <w:t>(Exceto Habitacional e Transportes</w:t>
      </w:r>
      <w:r w:rsidR="00765FD4">
        <w:rPr>
          <w:rFonts w:ascii="Arial" w:hAnsi="Arial" w:cs="Arial"/>
          <w:sz w:val="24"/>
          <w:szCs w:val="24"/>
        </w:rPr>
        <w:t>)</w:t>
      </w:r>
      <w:r w:rsidR="00765FD4" w:rsidRPr="00765FD4">
        <w:rPr>
          <w:rFonts w:ascii="Arial" w:hAnsi="Arial" w:cs="Arial"/>
          <w:sz w:val="24"/>
          <w:szCs w:val="24"/>
        </w:rPr>
        <w:t xml:space="preserve"> </w:t>
      </w:r>
      <w:r w:rsidR="00A5725F" w:rsidRPr="00765FD4">
        <w:rPr>
          <w:rFonts w:ascii="Arial" w:hAnsi="Arial" w:cs="Arial"/>
          <w:sz w:val="24"/>
          <w:szCs w:val="24"/>
        </w:rPr>
        <w:t>ou de produtos acessórios</w:t>
      </w:r>
      <w:r w:rsidR="003E6450" w:rsidRPr="00765FD4">
        <w:rPr>
          <w:rFonts w:ascii="Arial" w:hAnsi="Arial" w:cs="Arial"/>
          <w:sz w:val="24"/>
          <w:szCs w:val="24"/>
        </w:rPr>
        <w:t>.</w:t>
      </w:r>
      <w:r w:rsidR="00E13213" w:rsidRPr="00765FD4">
        <w:rPr>
          <w:rFonts w:ascii="Arial" w:hAnsi="Arial" w:cs="Arial"/>
          <w:sz w:val="24"/>
          <w:szCs w:val="24"/>
        </w:rPr>
        <w:t xml:space="preserve"> Para maiores detalhes de cotação é necessário entrar em contato com sua seguradora</w:t>
      </w:r>
      <w:r w:rsidR="00C5546D" w:rsidRPr="00765FD4">
        <w:rPr>
          <w:rFonts w:ascii="Arial" w:hAnsi="Arial" w:cs="Arial"/>
          <w:sz w:val="24"/>
          <w:szCs w:val="24"/>
        </w:rPr>
        <w:t xml:space="preserve"> ou</w:t>
      </w:r>
      <w:r w:rsidR="00122723" w:rsidRPr="00765FD4">
        <w:rPr>
          <w:rFonts w:ascii="Arial" w:hAnsi="Arial" w:cs="Arial"/>
          <w:sz w:val="24"/>
          <w:szCs w:val="24"/>
        </w:rPr>
        <w:t xml:space="preserve"> seu</w:t>
      </w:r>
      <w:r w:rsidR="00E13213" w:rsidRPr="00765FD4">
        <w:rPr>
          <w:rFonts w:ascii="Arial" w:hAnsi="Arial" w:cs="Arial"/>
          <w:sz w:val="24"/>
          <w:szCs w:val="24"/>
        </w:rPr>
        <w:t xml:space="preserve"> </w:t>
      </w:r>
      <w:r w:rsidR="008F5C7C" w:rsidRPr="00765FD4">
        <w:rPr>
          <w:rFonts w:ascii="Arial" w:hAnsi="Arial" w:cs="Arial"/>
          <w:sz w:val="24"/>
          <w:szCs w:val="24"/>
        </w:rPr>
        <w:t>intermediador</w:t>
      </w:r>
      <w:r w:rsidR="0002565D">
        <w:rPr>
          <w:rFonts w:ascii="Arial" w:hAnsi="Arial" w:cs="Arial"/>
          <w:sz w:val="24"/>
          <w:szCs w:val="24"/>
        </w:rPr>
        <w:t xml:space="preserve"> </w:t>
      </w:r>
      <w:r w:rsidR="0002565D" w:rsidRPr="00271630">
        <w:rPr>
          <w:rFonts w:ascii="Arial" w:hAnsi="Arial" w:cs="Arial"/>
          <w:sz w:val="24"/>
          <w:szCs w:val="24"/>
        </w:rPr>
        <w:t>(corretor)</w:t>
      </w:r>
      <w:r w:rsidR="0071054D" w:rsidRPr="00271630">
        <w:rPr>
          <w:rFonts w:ascii="Arial" w:hAnsi="Arial" w:cs="Arial"/>
          <w:sz w:val="24"/>
          <w:szCs w:val="24"/>
        </w:rPr>
        <w:t>.</w:t>
      </w:r>
    </w:p>
    <w:p w14:paraId="18BE41BC" w14:textId="1F26F566" w:rsidR="003E6450" w:rsidRPr="006D79F7" w:rsidRDefault="003E645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lastRenderedPageBreak/>
        <w:t xml:space="preserve">A metodologia utilizada para </w:t>
      </w:r>
      <w:r w:rsidR="009C3CD0" w:rsidRPr="006D79F7">
        <w:rPr>
          <w:rFonts w:ascii="Arial" w:hAnsi="Arial" w:cs="Arial"/>
          <w:sz w:val="24"/>
          <w:szCs w:val="24"/>
        </w:rPr>
        <w:t>o levantamento</w:t>
      </w:r>
      <w:r w:rsidRPr="006D79F7">
        <w:rPr>
          <w:rFonts w:ascii="Arial" w:hAnsi="Arial" w:cs="Arial"/>
          <w:sz w:val="24"/>
          <w:szCs w:val="24"/>
        </w:rPr>
        <w:t xml:space="preserve"> destas informações é </w:t>
      </w:r>
      <w:r w:rsidR="00046E1D" w:rsidRPr="006D79F7">
        <w:rPr>
          <w:rFonts w:ascii="Arial" w:hAnsi="Arial" w:cs="Arial"/>
          <w:sz w:val="24"/>
          <w:szCs w:val="24"/>
        </w:rPr>
        <w:t xml:space="preserve">a que consta no </w:t>
      </w:r>
      <w:r w:rsidR="009C3CD0" w:rsidRPr="006D79F7">
        <w:rPr>
          <w:rFonts w:ascii="Arial" w:hAnsi="Arial" w:cs="Arial"/>
          <w:sz w:val="24"/>
          <w:szCs w:val="24"/>
        </w:rPr>
        <w:t xml:space="preserve">Manual de Escopo de Dados e Serviços do </w:t>
      </w:r>
      <w:r w:rsidR="009C3CD0" w:rsidRPr="006D79F7">
        <w:rPr>
          <w:rFonts w:ascii="Arial" w:hAnsi="Arial" w:cs="Arial"/>
          <w:i/>
          <w:iCs/>
          <w:sz w:val="24"/>
          <w:szCs w:val="24"/>
        </w:rPr>
        <w:t>Open Insurance</w:t>
      </w:r>
      <w:r w:rsidR="009C3CD0" w:rsidRPr="006D79F7">
        <w:rPr>
          <w:rFonts w:ascii="Arial" w:hAnsi="Arial" w:cs="Arial"/>
          <w:sz w:val="24"/>
          <w:szCs w:val="24"/>
        </w:rPr>
        <w:t>.</w:t>
      </w:r>
    </w:p>
    <w:p w14:paraId="4A01C4C9" w14:textId="66A0E927" w:rsidR="003606DA" w:rsidRDefault="00C749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Pode h</w:t>
      </w:r>
      <w:r w:rsidRPr="00765FD4">
        <w:rPr>
          <w:rFonts w:ascii="Arial" w:hAnsi="Arial" w:cs="Arial"/>
          <w:sz w:val="24"/>
          <w:szCs w:val="24"/>
        </w:rPr>
        <w:t xml:space="preserve">aver alterações entre produtos do mesmo ramo </w:t>
      </w:r>
      <w:r w:rsidR="00B550CD" w:rsidRPr="00765FD4">
        <w:rPr>
          <w:rFonts w:ascii="Arial" w:hAnsi="Arial" w:cs="Arial"/>
          <w:sz w:val="24"/>
          <w:szCs w:val="24"/>
        </w:rPr>
        <w:t>dependendo da</w:t>
      </w:r>
      <w:r w:rsidRPr="00765FD4">
        <w:rPr>
          <w:rFonts w:ascii="Arial" w:hAnsi="Arial" w:cs="Arial"/>
          <w:sz w:val="24"/>
          <w:szCs w:val="24"/>
        </w:rPr>
        <w:t xml:space="preserve"> seguradora, isso porque cada </w:t>
      </w:r>
      <w:r w:rsidR="00B550CD" w:rsidRPr="00765FD4">
        <w:rPr>
          <w:rFonts w:ascii="Arial" w:hAnsi="Arial" w:cs="Arial"/>
          <w:sz w:val="24"/>
          <w:szCs w:val="24"/>
        </w:rPr>
        <w:t>empresa</w:t>
      </w:r>
      <w:r w:rsidRPr="00765FD4">
        <w:rPr>
          <w:rFonts w:ascii="Arial" w:hAnsi="Arial" w:cs="Arial"/>
          <w:sz w:val="24"/>
          <w:szCs w:val="24"/>
        </w:rPr>
        <w:t xml:space="preserve"> possui um grupo focal de clientes e um estilo operacional.</w:t>
      </w:r>
      <w:r w:rsidR="00092EC4" w:rsidRPr="00765FD4">
        <w:rPr>
          <w:rFonts w:ascii="Arial" w:hAnsi="Arial" w:cs="Arial"/>
          <w:sz w:val="24"/>
          <w:szCs w:val="24"/>
        </w:rPr>
        <w:t xml:space="preserve"> Para mais detalhes entre em contato com a seguradora ou </w:t>
      </w:r>
      <w:r w:rsidR="00122723" w:rsidRPr="00765FD4">
        <w:rPr>
          <w:rFonts w:ascii="Arial" w:hAnsi="Arial" w:cs="Arial"/>
          <w:sz w:val="24"/>
          <w:szCs w:val="24"/>
        </w:rPr>
        <w:t xml:space="preserve">o </w:t>
      </w:r>
      <w:r w:rsidR="00496314" w:rsidRPr="00765FD4">
        <w:rPr>
          <w:rFonts w:ascii="Arial" w:hAnsi="Arial" w:cs="Arial"/>
          <w:sz w:val="24"/>
          <w:szCs w:val="24"/>
        </w:rPr>
        <w:t>intermediador</w:t>
      </w:r>
      <w:r w:rsidR="0002565D">
        <w:rPr>
          <w:rFonts w:ascii="Arial" w:hAnsi="Arial" w:cs="Arial"/>
          <w:sz w:val="24"/>
          <w:szCs w:val="24"/>
        </w:rPr>
        <w:t xml:space="preserve"> </w:t>
      </w:r>
      <w:r w:rsidR="0002565D" w:rsidRPr="00271630">
        <w:rPr>
          <w:rFonts w:ascii="Arial" w:hAnsi="Arial" w:cs="Arial"/>
          <w:sz w:val="24"/>
          <w:szCs w:val="24"/>
        </w:rPr>
        <w:t>(corretor)</w:t>
      </w:r>
      <w:r w:rsidR="00092EC4" w:rsidRPr="00271630">
        <w:rPr>
          <w:rFonts w:ascii="Arial" w:hAnsi="Arial" w:cs="Arial"/>
          <w:sz w:val="24"/>
          <w:szCs w:val="24"/>
        </w:rPr>
        <w:t>.</w:t>
      </w:r>
    </w:p>
    <w:p w14:paraId="1B92D06F" w14:textId="2D7F3892" w:rsidR="004B12F6" w:rsidRPr="00271630" w:rsidRDefault="004B12F6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>A</w:t>
      </w:r>
      <w:r w:rsidR="002320F7" w:rsidRPr="00271630">
        <w:rPr>
          <w:rFonts w:ascii="Arial" w:hAnsi="Arial" w:cs="Arial"/>
          <w:sz w:val="24"/>
          <w:szCs w:val="24"/>
        </w:rPr>
        <w:t>s</w:t>
      </w:r>
      <w:r w:rsidRPr="00271630">
        <w:rPr>
          <w:rFonts w:ascii="Arial" w:hAnsi="Arial" w:cs="Arial"/>
          <w:sz w:val="24"/>
          <w:szCs w:val="24"/>
        </w:rPr>
        <w:t xml:space="preserve"> informaç</w:t>
      </w:r>
      <w:r w:rsidR="002320F7" w:rsidRPr="00271630">
        <w:rPr>
          <w:rFonts w:ascii="Arial" w:hAnsi="Arial" w:cs="Arial"/>
          <w:sz w:val="24"/>
          <w:szCs w:val="24"/>
        </w:rPr>
        <w:t>ões</w:t>
      </w:r>
      <w:r w:rsidRPr="00271630">
        <w:rPr>
          <w:rFonts w:ascii="Arial" w:hAnsi="Arial" w:cs="Arial"/>
          <w:sz w:val="24"/>
          <w:szCs w:val="24"/>
        </w:rPr>
        <w:t xml:space="preserve"> de Taxa de prêmio</w:t>
      </w:r>
      <w:r w:rsidR="002320F7" w:rsidRPr="00271630">
        <w:rPr>
          <w:rFonts w:ascii="Arial" w:hAnsi="Arial" w:cs="Arial"/>
          <w:sz w:val="24"/>
          <w:szCs w:val="24"/>
        </w:rPr>
        <w:t xml:space="preserve"> e Taxa de Contribuição</w:t>
      </w:r>
      <w:r w:rsidRPr="00271630">
        <w:rPr>
          <w:rFonts w:ascii="Arial" w:hAnsi="Arial" w:cs="Arial"/>
          <w:sz w:val="24"/>
          <w:szCs w:val="24"/>
        </w:rPr>
        <w:t xml:space="preserve"> </w:t>
      </w:r>
      <w:r w:rsidR="002320F7" w:rsidRPr="00271630">
        <w:rPr>
          <w:rFonts w:ascii="Arial" w:hAnsi="Arial" w:cs="Arial"/>
          <w:sz w:val="24"/>
          <w:szCs w:val="24"/>
        </w:rPr>
        <w:t>são</w:t>
      </w:r>
      <w:r w:rsidRPr="00271630">
        <w:rPr>
          <w:rFonts w:ascii="Arial" w:hAnsi="Arial" w:cs="Arial"/>
          <w:sz w:val="24"/>
          <w:szCs w:val="24"/>
        </w:rPr>
        <w:t xml:space="preserve"> destinada</w:t>
      </w:r>
      <w:r w:rsidR="002320F7" w:rsidRPr="00271630">
        <w:rPr>
          <w:rFonts w:ascii="Arial" w:hAnsi="Arial" w:cs="Arial"/>
          <w:sz w:val="24"/>
          <w:szCs w:val="24"/>
        </w:rPr>
        <w:t>s</w:t>
      </w:r>
      <w:r w:rsidRPr="00271630">
        <w:rPr>
          <w:rFonts w:ascii="Arial" w:hAnsi="Arial" w:cs="Arial"/>
          <w:sz w:val="24"/>
          <w:szCs w:val="24"/>
        </w:rPr>
        <w:t xml:space="preserve"> </w:t>
      </w:r>
      <w:r w:rsidR="00B05C30" w:rsidRPr="00271630">
        <w:rPr>
          <w:rFonts w:ascii="Arial" w:hAnsi="Arial" w:cs="Arial"/>
          <w:sz w:val="24"/>
          <w:szCs w:val="24"/>
        </w:rPr>
        <w:t xml:space="preserve">exclusivamente </w:t>
      </w:r>
      <w:r w:rsidRPr="00271630">
        <w:rPr>
          <w:rFonts w:ascii="Arial" w:hAnsi="Arial" w:cs="Arial"/>
          <w:sz w:val="24"/>
          <w:szCs w:val="24"/>
        </w:rPr>
        <w:t xml:space="preserve">para o consumo do usuário final para que ele tenha uma noção </w:t>
      </w:r>
      <w:r w:rsidR="00B17F4C" w:rsidRPr="00271630">
        <w:rPr>
          <w:rFonts w:ascii="Arial" w:hAnsi="Arial" w:cs="Arial"/>
          <w:sz w:val="24"/>
          <w:szCs w:val="24"/>
        </w:rPr>
        <w:t>de quanto custa um seguro,</w:t>
      </w:r>
      <w:r w:rsidR="000058E4" w:rsidRPr="00271630">
        <w:rPr>
          <w:rFonts w:ascii="Arial" w:hAnsi="Arial" w:cs="Arial"/>
          <w:sz w:val="24"/>
          <w:szCs w:val="24"/>
        </w:rPr>
        <w:t xml:space="preserve"> não </w:t>
      </w:r>
      <w:r w:rsidR="00E30F3E" w:rsidRPr="00271630">
        <w:rPr>
          <w:rFonts w:ascii="Arial" w:hAnsi="Arial" w:cs="Arial"/>
          <w:sz w:val="24"/>
          <w:szCs w:val="24"/>
        </w:rPr>
        <w:t>devem ser utilizadas para fins estatísticos.</w:t>
      </w:r>
    </w:p>
    <w:p w14:paraId="5AA5BF00" w14:textId="5724842D" w:rsidR="00E30F3E" w:rsidRPr="00271630" w:rsidRDefault="00E30F3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Os valores reportados no campo Taxa Prêmio </w:t>
      </w:r>
      <w:r w:rsidR="00140BA2" w:rsidRPr="00271630">
        <w:rPr>
          <w:rFonts w:ascii="Arial" w:hAnsi="Arial" w:cs="Arial"/>
          <w:sz w:val="24"/>
          <w:szCs w:val="24"/>
        </w:rPr>
        <w:t>e</w:t>
      </w:r>
      <w:r w:rsidRPr="00271630">
        <w:rPr>
          <w:rFonts w:ascii="Arial" w:hAnsi="Arial" w:cs="Arial"/>
          <w:sz w:val="24"/>
          <w:szCs w:val="24"/>
        </w:rPr>
        <w:t xml:space="preserve"> Ta</w:t>
      </w:r>
      <w:r w:rsidR="002320F7" w:rsidRPr="00271630">
        <w:rPr>
          <w:rFonts w:ascii="Arial" w:hAnsi="Arial" w:cs="Arial"/>
          <w:sz w:val="24"/>
          <w:szCs w:val="24"/>
        </w:rPr>
        <w:t>xa de Contribuição</w:t>
      </w:r>
      <w:r w:rsidR="00140BA2" w:rsidRPr="00271630">
        <w:rPr>
          <w:rFonts w:ascii="Arial" w:hAnsi="Arial" w:cs="Arial"/>
          <w:sz w:val="24"/>
          <w:szCs w:val="24"/>
        </w:rPr>
        <w:t xml:space="preserve"> são valores que refletem um conjunto de características d</w:t>
      </w:r>
      <w:r w:rsidR="00AB152F" w:rsidRPr="00271630">
        <w:rPr>
          <w:rFonts w:ascii="Arial" w:hAnsi="Arial" w:cs="Arial"/>
          <w:sz w:val="24"/>
          <w:szCs w:val="24"/>
        </w:rPr>
        <w:t>e um</w:t>
      </w:r>
      <w:r w:rsidR="00140BA2" w:rsidRPr="00271630">
        <w:rPr>
          <w:rFonts w:ascii="Arial" w:hAnsi="Arial" w:cs="Arial"/>
          <w:sz w:val="24"/>
          <w:szCs w:val="24"/>
        </w:rPr>
        <w:t xml:space="preserve"> seguro </w:t>
      </w:r>
      <w:r w:rsidR="009A15E9" w:rsidRPr="00271630">
        <w:rPr>
          <w:rFonts w:ascii="Arial" w:hAnsi="Arial" w:cs="Arial"/>
          <w:sz w:val="24"/>
          <w:szCs w:val="24"/>
        </w:rPr>
        <w:t>específico</w:t>
      </w:r>
      <w:r w:rsidR="00140BA2" w:rsidRPr="00271630">
        <w:rPr>
          <w:rFonts w:ascii="Arial" w:hAnsi="Arial" w:cs="Arial"/>
          <w:sz w:val="24"/>
          <w:szCs w:val="24"/>
        </w:rPr>
        <w:t xml:space="preserve"> de cada </w:t>
      </w:r>
      <w:r w:rsidR="009A15E9" w:rsidRPr="00271630">
        <w:rPr>
          <w:rFonts w:ascii="Arial" w:hAnsi="Arial" w:cs="Arial"/>
          <w:sz w:val="24"/>
          <w:szCs w:val="24"/>
        </w:rPr>
        <w:t>companhia</w:t>
      </w:r>
      <w:r w:rsidR="00DF0E64" w:rsidRPr="00271630">
        <w:rPr>
          <w:rFonts w:ascii="Arial" w:hAnsi="Arial" w:cs="Arial"/>
          <w:sz w:val="24"/>
          <w:szCs w:val="24"/>
        </w:rPr>
        <w:t>, logo</w:t>
      </w:r>
      <w:r w:rsidR="0075361C" w:rsidRPr="00271630">
        <w:rPr>
          <w:rFonts w:ascii="Arial" w:hAnsi="Arial" w:cs="Arial"/>
          <w:sz w:val="24"/>
          <w:szCs w:val="24"/>
        </w:rPr>
        <w:t>,</w:t>
      </w:r>
      <w:r w:rsidR="00DF0E64" w:rsidRPr="00271630">
        <w:rPr>
          <w:rFonts w:ascii="Arial" w:hAnsi="Arial" w:cs="Arial"/>
          <w:sz w:val="24"/>
          <w:szCs w:val="24"/>
        </w:rPr>
        <w:t xml:space="preserve"> deve</w:t>
      </w:r>
      <w:r w:rsidR="0075361C" w:rsidRPr="00271630">
        <w:rPr>
          <w:rFonts w:ascii="Arial" w:hAnsi="Arial" w:cs="Arial"/>
          <w:sz w:val="24"/>
          <w:szCs w:val="24"/>
        </w:rPr>
        <w:t>m</w:t>
      </w:r>
      <w:r w:rsidR="00DF0E64" w:rsidRPr="00271630">
        <w:rPr>
          <w:rFonts w:ascii="Arial" w:hAnsi="Arial" w:cs="Arial"/>
          <w:sz w:val="24"/>
          <w:szCs w:val="24"/>
        </w:rPr>
        <w:t xml:space="preserve"> </w:t>
      </w:r>
      <w:r w:rsidR="00BB3A52" w:rsidRPr="00271630">
        <w:rPr>
          <w:rFonts w:ascii="Arial" w:hAnsi="Arial" w:cs="Arial"/>
          <w:sz w:val="24"/>
          <w:szCs w:val="24"/>
        </w:rPr>
        <w:t>ser analisado</w:t>
      </w:r>
      <w:r w:rsidR="0075361C" w:rsidRPr="00271630">
        <w:rPr>
          <w:rFonts w:ascii="Arial" w:hAnsi="Arial" w:cs="Arial"/>
          <w:sz w:val="24"/>
          <w:szCs w:val="24"/>
        </w:rPr>
        <w:t>s</w:t>
      </w:r>
      <w:r w:rsidR="00BB3A52" w:rsidRPr="00271630">
        <w:rPr>
          <w:rFonts w:ascii="Arial" w:hAnsi="Arial" w:cs="Arial"/>
          <w:sz w:val="24"/>
          <w:szCs w:val="24"/>
        </w:rPr>
        <w:t xml:space="preserve"> em conjunto com as demais informações </w:t>
      </w:r>
      <w:r w:rsidR="00E129C2" w:rsidRPr="00271630">
        <w:rPr>
          <w:rFonts w:ascii="Arial" w:hAnsi="Arial" w:cs="Arial"/>
          <w:sz w:val="24"/>
          <w:szCs w:val="24"/>
        </w:rPr>
        <w:t xml:space="preserve">dispostas na Fase I, não </w:t>
      </w:r>
      <w:r w:rsidR="0075361C" w:rsidRPr="00271630">
        <w:rPr>
          <w:rFonts w:ascii="Arial" w:hAnsi="Arial" w:cs="Arial"/>
          <w:sz w:val="24"/>
          <w:szCs w:val="24"/>
        </w:rPr>
        <w:t>sendo factível comparar somente este campo entre Seguradoras</w:t>
      </w:r>
      <w:r w:rsidR="009A15E9" w:rsidRPr="00271630">
        <w:rPr>
          <w:rFonts w:ascii="Arial" w:hAnsi="Arial" w:cs="Arial"/>
          <w:sz w:val="24"/>
          <w:szCs w:val="24"/>
        </w:rPr>
        <w:t>.</w:t>
      </w:r>
    </w:p>
    <w:p w14:paraId="37B8774C" w14:textId="5977F566" w:rsidR="00095BCC" w:rsidRPr="00271630" w:rsidRDefault="0087695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Para os produtos e modalidades que não estão com as estimativas de valores </w:t>
      </w:r>
      <w:r w:rsidR="00EA7306" w:rsidRPr="00271630">
        <w:rPr>
          <w:rFonts w:ascii="Arial" w:hAnsi="Arial" w:cs="Arial"/>
          <w:sz w:val="24"/>
          <w:szCs w:val="24"/>
        </w:rPr>
        <w:t>preenchidas neste campo</w:t>
      </w:r>
      <w:r w:rsidR="005A6D9A" w:rsidRPr="00271630">
        <w:rPr>
          <w:rFonts w:ascii="Arial" w:hAnsi="Arial" w:cs="Arial"/>
          <w:sz w:val="24"/>
          <w:szCs w:val="24"/>
        </w:rPr>
        <w:t>, é necessário que o cliente</w:t>
      </w:r>
      <w:r w:rsidRPr="00271630">
        <w:rPr>
          <w:rFonts w:ascii="Arial" w:hAnsi="Arial" w:cs="Arial"/>
          <w:sz w:val="24"/>
          <w:szCs w:val="24"/>
        </w:rPr>
        <w:t xml:space="preserve"> </w:t>
      </w:r>
      <w:r w:rsidR="00EC4F53" w:rsidRPr="00271630">
        <w:rPr>
          <w:rFonts w:ascii="Arial" w:hAnsi="Arial" w:cs="Arial"/>
          <w:sz w:val="24"/>
          <w:szCs w:val="24"/>
        </w:rPr>
        <w:t xml:space="preserve">entre em contato com a seguradora </w:t>
      </w:r>
      <w:r w:rsidR="00357E74" w:rsidRPr="00271630">
        <w:rPr>
          <w:rFonts w:ascii="Arial" w:hAnsi="Arial" w:cs="Arial"/>
          <w:sz w:val="24"/>
          <w:szCs w:val="24"/>
        </w:rPr>
        <w:t>ou intermediário</w:t>
      </w:r>
      <w:r w:rsidR="008F7B00" w:rsidRPr="00271630">
        <w:rPr>
          <w:rFonts w:ascii="Arial" w:hAnsi="Arial" w:cs="Arial"/>
          <w:sz w:val="24"/>
          <w:szCs w:val="24"/>
        </w:rPr>
        <w:t xml:space="preserve"> para realizar a cotação</w:t>
      </w:r>
      <w:r w:rsidR="00EC4F53" w:rsidRPr="00271630">
        <w:rPr>
          <w:rFonts w:ascii="Arial" w:hAnsi="Arial" w:cs="Arial"/>
          <w:sz w:val="24"/>
          <w:szCs w:val="24"/>
        </w:rPr>
        <w:t xml:space="preserve"> </w:t>
      </w:r>
      <w:r w:rsidR="00A71CC9" w:rsidRPr="00271630">
        <w:rPr>
          <w:rFonts w:ascii="Arial" w:hAnsi="Arial" w:cs="Arial"/>
          <w:sz w:val="24"/>
          <w:szCs w:val="24"/>
        </w:rPr>
        <w:t>e saber o</w:t>
      </w:r>
      <w:r w:rsidR="00357E74" w:rsidRPr="00271630">
        <w:rPr>
          <w:rFonts w:ascii="Arial" w:hAnsi="Arial" w:cs="Arial"/>
          <w:sz w:val="24"/>
          <w:szCs w:val="24"/>
        </w:rPr>
        <w:t xml:space="preserve"> valor</w:t>
      </w:r>
      <w:r w:rsidR="00A71CC9" w:rsidRPr="00271630">
        <w:rPr>
          <w:rFonts w:ascii="Arial" w:hAnsi="Arial" w:cs="Arial"/>
          <w:sz w:val="24"/>
          <w:szCs w:val="24"/>
        </w:rPr>
        <w:t xml:space="preserve"> </w:t>
      </w:r>
      <w:r w:rsidR="00985ABE" w:rsidRPr="00271630">
        <w:rPr>
          <w:rFonts w:ascii="Arial" w:hAnsi="Arial" w:cs="Arial"/>
          <w:sz w:val="24"/>
          <w:szCs w:val="24"/>
        </w:rPr>
        <w:t>de seu seguro</w:t>
      </w:r>
      <w:r w:rsidR="008F7B00" w:rsidRPr="00271630">
        <w:rPr>
          <w:rFonts w:ascii="Arial" w:hAnsi="Arial" w:cs="Arial"/>
          <w:sz w:val="24"/>
          <w:szCs w:val="24"/>
        </w:rPr>
        <w:t>.</w:t>
      </w:r>
    </w:p>
    <w:p w14:paraId="46A99271" w14:textId="77777777" w:rsidR="004B12F6" w:rsidRDefault="004B12F6" w:rsidP="00F17372">
      <w:pPr>
        <w:pStyle w:val="PargrafodaLista"/>
        <w:spacing w:line="360" w:lineRule="auto"/>
        <w:ind w:left="1440"/>
        <w:jc w:val="both"/>
        <w:rPr>
          <w:rFonts w:ascii="Arial" w:hAnsi="Arial" w:cs="Arial"/>
          <w:sz w:val="24"/>
          <w:szCs w:val="24"/>
        </w:rPr>
      </w:pPr>
    </w:p>
    <w:p w14:paraId="5C7B900C" w14:textId="1B06AAE1" w:rsidR="008071A9" w:rsidRPr="00765FD4" w:rsidRDefault="00C92FEB" w:rsidP="00124287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</w:t>
      </w:r>
      <w:r w:rsidR="00306752" w:rsidRPr="00765FD4">
        <w:rPr>
          <w:rFonts w:ascii="Arial" w:hAnsi="Arial" w:cs="Arial"/>
          <w:sz w:val="24"/>
          <w:szCs w:val="24"/>
        </w:rPr>
        <w:t xml:space="preserve"> a finalidade de</w:t>
      </w:r>
      <w:r w:rsidR="00DF5A76" w:rsidRPr="00765FD4">
        <w:rPr>
          <w:rFonts w:ascii="Arial" w:hAnsi="Arial" w:cs="Arial"/>
          <w:sz w:val="24"/>
          <w:szCs w:val="24"/>
        </w:rPr>
        <w:t xml:space="preserve"> </w:t>
      </w:r>
      <w:r w:rsidR="001B0E5D" w:rsidRPr="00765FD4">
        <w:rPr>
          <w:rFonts w:ascii="Arial" w:hAnsi="Arial" w:cs="Arial"/>
          <w:sz w:val="24"/>
          <w:szCs w:val="24"/>
        </w:rPr>
        <w:t xml:space="preserve">proporcionar mais conforto </w:t>
      </w:r>
      <w:r w:rsidR="001D5824" w:rsidRPr="00765FD4">
        <w:rPr>
          <w:rFonts w:ascii="Arial" w:hAnsi="Arial" w:cs="Arial"/>
          <w:sz w:val="24"/>
          <w:szCs w:val="24"/>
        </w:rPr>
        <w:t>à</w:t>
      </w:r>
      <w:r w:rsidR="00DF1B10" w:rsidRPr="00765FD4">
        <w:rPr>
          <w:rFonts w:ascii="Arial" w:hAnsi="Arial" w:cs="Arial"/>
          <w:sz w:val="24"/>
          <w:szCs w:val="24"/>
        </w:rPr>
        <w:t>s companhias</w:t>
      </w:r>
      <w:r w:rsidR="00837C17" w:rsidRPr="00765FD4">
        <w:rPr>
          <w:rFonts w:ascii="Arial" w:hAnsi="Arial" w:cs="Arial"/>
          <w:sz w:val="24"/>
          <w:szCs w:val="24"/>
        </w:rPr>
        <w:t xml:space="preserve"> e aos usuários que consultar</w:t>
      </w:r>
      <w:r w:rsidR="002919F6" w:rsidRPr="00765FD4">
        <w:rPr>
          <w:rFonts w:ascii="Arial" w:hAnsi="Arial" w:cs="Arial"/>
          <w:sz w:val="24"/>
          <w:szCs w:val="24"/>
        </w:rPr>
        <w:t>ão</w:t>
      </w:r>
      <w:r w:rsidR="00837C17" w:rsidRPr="00765FD4">
        <w:rPr>
          <w:rFonts w:ascii="Arial" w:hAnsi="Arial" w:cs="Arial"/>
          <w:sz w:val="24"/>
          <w:szCs w:val="24"/>
        </w:rPr>
        <w:t xml:space="preserve"> essas informações</w:t>
      </w:r>
      <w:r w:rsidR="00DF1B10" w:rsidRPr="00765FD4">
        <w:rPr>
          <w:rFonts w:ascii="Arial" w:hAnsi="Arial" w:cs="Arial"/>
          <w:sz w:val="24"/>
          <w:szCs w:val="24"/>
        </w:rPr>
        <w:t>, o grupo sugere</w:t>
      </w:r>
      <w:r w:rsidR="00FF0ABF" w:rsidRPr="00765FD4">
        <w:rPr>
          <w:rFonts w:ascii="Arial" w:hAnsi="Arial" w:cs="Arial"/>
          <w:sz w:val="24"/>
          <w:szCs w:val="24"/>
        </w:rPr>
        <w:t xml:space="preserve"> que as informações de </w:t>
      </w:r>
      <w:proofErr w:type="spellStart"/>
      <w:r w:rsidR="00FF0ABF" w:rsidRPr="00765FD4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="00FF0ABF" w:rsidRPr="00765FD4">
        <w:rPr>
          <w:rFonts w:ascii="Arial" w:hAnsi="Arial" w:cs="Arial"/>
          <w:sz w:val="24"/>
          <w:szCs w:val="24"/>
        </w:rPr>
        <w:t xml:space="preserve"> também </w:t>
      </w:r>
      <w:r w:rsidR="0059249A" w:rsidRPr="00765FD4">
        <w:rPr>
          <w:rFonts w:ascii="Arial" w:hAnsi="Arial" w:cs="Arial"/>
          <w:sz w:val="24"/>
          <w:szCs w:val="24"/>
        </w:rPr>
        <w:t>dev</w:t>
      </w:r>
      <w:r w:rsidR="00FF0ABF" w:rsidRPr="00765FD4">
        <w:rPr>
          <w:rFonts w:ascii="Arial" w:hAnsi="Arial" w:cs="Arial"/>
          <w:sz w:val="24"/>
          <w:szCs w:val="24"/>
        </w:rPr>
        <w:t xml:space="preserve">em </w:t>
      </w:r>
      <w:r w:rsidR="0059249A" w:rsidRPr="00765FD4">
        <w:rPr>
          <w:rFonts w:ascii="Arial" w:hAnsi="Arial" w:cs="Arial"/>
          <w:sz w:val="24"/>
          <w:szCs w:val="24"/>
        </w:rPr>
        <w:t xml:space="preserve">ser </w:t>
      </w:r>
      <w:r w:rsidR="00FF0ABF" w:rsidRPr="00765FD4">
        <w:rPr>
          <w:rFonts w:ascii="Arial" w:hAnsi="Arial" w:cs="Arial"/>
          <w:sz w:val="24"/>
          <w:szCs w:val="24"/>
        </w:rPr>
        <w:t xml:space="preserve">apresentadas </w:t>
      </w:r>
      <w:r w:rsidR="00C92857" w:rsidRPr="00765FD4">
        <w:rPr>
          <w:rFonts w:ascii="Arial" w:hAnsi="Arial" w:cs="Arial"/>
          <w:sz w:val="24"/>
          <w:szCs w:val="24"/>
        </w:rPr>
        <w:t>no site do Open Insurance, especificamente, nos ambientes d</w:t>
      </w:r>
      <w:r w:rsidR="00DF1B10" w:rsidRPr="00765FD4">
        <w:rPr>
          <w:rFonts w:ascii="Arial" w:hAnsi="Arial" w:cs="Arial"/>
          <w:sz w:val="24"/>
          <w:szCs w:val="24"/>
        </w:rPr>
        <w:t>a área do desenvolvedor e do FAQ.</w:t>
      </w:r>
      <w:r w:rsidR="00653F08" w:rsidRPr="00765FD4">
        <w:rPr>
          <w:rFonts w:ascii="Arial" w:hAnsi="Arial" w:cs="Arial"/>
          <w:sz w:val="24"/>
          <w:szCs w:val="24"/>
        </w:rPr>
        <w:t xml:space="preserve"> </w:t>
      </w:r>
      <w:r w:rsidR="00442AA9" w:rsidRPr="00765FD4">
        <w:rPr>
          <w:rFonts w:ascii="Arial" w:hAnsi="Arial" w:cs="Arial"/>
          <w:sz w:val="24"/>
          <w:szCs w:val="24"/>
        </w:rPr>
        <w:t xml:space="preserve">Além disso, essas informações apresentadas nesses ambientes podem </w:t>
      </w:r>
      <w:r w:rsidR="000519CC" w:rsidRPr="00765FD4">
        <w:rPr>
          <w:rFonts w:ascii="Arial" w:hAnsi="Arial" w:cs="Arial"/>
          <w:sz w:val="24"/>
          <w:szCs w:val="24"/>
        </w:rPr>
        <w:t>prevenir o uso indevido</w:t>
      </w:r>
      <w:r w:rsidR="00534951" w:rsidRPr="00765FD4">
        <w:rPr>
          <w:rFonts w:ascii="Arial" w:hAnsi="Arial" w:cs="Arial"/>
          <w:sz w:val="24"/>
          <w:szCs w:val="24"/>
        </w:rPr>
        <w:t xml:space="preserve"> e gerir as expectativas do usuário ao visualizar as </w:t>
      </w:r>
      <w:r w:rsidR="00DD3DEB" w:rsidRPr="00765FD4">
        <w:rPr>
          <w:rFonts w:ascii="Arial" w:hAnsi="Arial" w:cs="Arial"/>
          <w:sz w:val="24"/>
          <w:szCs w:val="24"/>
        </w:rPr>
        <w:t xml:space="preserve">informações </w:t>
      </w:r>
      <w:r w:rsidR="006D5DCD" w:rsidRPr="00765FD4">
        <w:rPr>
          <w:rFonts w:ascii="Arial" w:hAnsi="Arial" w:cs="Arial"/>
          <w:sz w:val="24"/>
          <w:szCs w:val="24"/>
        </w:rPr>
        <w:t xml:space="preserve">para não </w:t>
      </w:r>
      <w:r w:rsidR="00DB71C5" w:rsidRPr="00765FD4">
        <w:rPr>
          <w:rFonts w:ascii="Arial" w:hAnsi="Arial" w:cs="Arial"/>
          <w:sz w:val="24"/>
          <w:szCs w:val="24"/>
        </w:rPr>
        <w:t xml:space="preserve">propiciar mal-entendidos. </w:t>
      </w:r>
    </w:p>
    <w:p w14:paraId="6CF08084" w14:textId="61053F70" w:rsidR="00DB71C5" w:rsidRDefault="00DB71C5" w:rsidP="00254884">
      <w:pPr>
        <w:spacing w:line="360" w:lineRule="auto"/>
        <w:jc w:val="both"/>
        <w:rPr>
          <w:rFonts w:ascii="Arial" w:hAnsi="Arial" w:cs="Arial"/>
        </w:rPr>
      </w:pPr>
    </w:p>
    <w:p w14:paraId="3FD0BE63" w14:textId="77777777" w:rsidR="006D5F00" w:rsidRDefault="006D5F00" w:rsidP="006D5F00">
      <w:pPr>
        <w:spacing w:line="360" w:lineRule="auto"/>
        <w:jc w:val="both"/>
        <w:rPr>
          <w:rFonts w:ascii="Arial" w:hAnsi="Arial" w:cs="Arial"/>
        </w:rPr>
      </w:pPr>
    </w:p>
    <w:p w14:paraId="330497D8" w14:textId="77E5F9DB" w:rsidR="00E71C51" w:rsidRDefault="00E71C51">
      <w:pPr>
        <w:rPr>
          <w:rFonts w:ascii="Arial" w:eastAsiaTheme="majorEastAsia" w:hAnsi="Arial" w:cstheme="majorBidi"/>
          <w:b/>
          <w:sz w:val="24"/>
          <w:szCs w:val="32"/>
        </w:rPr>
      </w:pPr>
      <w:bookmarkStart w:id="6" w:name="_Toc159511131"/>
    </w:p>
    <w:p w14:paraId="07750A8B" w14:textId="77777777" w:rsidR="00254884" w:rsidRDefault="005A5C88" w:rsidP="00254884">
      <w:pPr>
        <w:pStyle w:val="Estilo1"/>
      </w:pPr>
      <w:bookmarkStart w:id="7" w:name="_Toc159927014"/>
      <w:r w:rsidRPr="00CD6478">
        <w:lastRenderedPageBreak/>
        <w:t>Detalhamento d</w:t>
      </w:r>
      <w:r w:rsidR="0016675C" w:rsidRPr="00CD6478">
        <w:t>as Propostas e Exceções</w:t>
      </w:r>
      <w:bookmarkStart w:id="8" w:name="_Toc159511132"/>
      <w:bookmarkEnd w:id="6"/>
      <w:bookmarkEnd w:id="7"/>
    </w:p>
    <w:p w14:paraId="3829CA2F" w14:textId="77777777" w:rsidR="00E56821" w:rsidRDefault="00F133E4">
      <w:pPr>
        <w:pStyle w:val="Estilo1"/>
        <w:numPr>
          <w:ilvl w:val="1"/>
          <w:numId w:val="13"/>
        </w:numPr>
      </w:pPr>
      <w:bookmarkStart w:id="9" w:name="_Toc159927015"/>
      <w:r w:rsidRPr="00254884">
        <w:t>Seguro de Pessoas (Excluindo VGBL)</w:t>
      </w:r>
      <w:bookmarkStart w:id="10" w:name="_Toc159511133"/>
      <w:bookmarkEnd w:id="8"/>
      <w:bookmarkEnd w:id="9"/>
    </w:p>
    <w:p w14:paraId="5EBDC800" w14:textId="0BDD6B95" w:rsidR="00F133E4" w:rsidRPr="0026351E" w:rsidRDefault="00933E3A">
      <w:pPr>
        <w:pStyle w:val="Estilo1"/>
        <w:numPr>
          <w:ilvl w:val="2"/>
          <w:numId w:val="13"/>
        </w:numPr>
      </w:pPr>
      <w:bookmarkStart w:id="11" w:name="_Toc159927016"/>
      <w:r w:rsidRPr="0026351E">
        <w:t>Metodologia</w:t>
      </w:r>
      <w:bookmarkEnd w:id="10"/>
      <w:bookmarkEnd w:id="11"/>
    </w:p>
    <w:p w14:paraId="31AEA31C" w14:textId="77777777" w:rsidR="00F133E4" w:rsidRPr="00F65A6A" w:rsidRDefault="00F133E4" w:rsidP="00025DAD">
      <w:pPr>
        <w:spacing w:line="36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F65A6A">
        <w:rPr>
          <w:rFonts w:ascii="Arial" w:hAnsi="Arial" w:cs="Arial"/>
          <w:sz w:val="24"/>
          <w:szCs w:val="24"/>
        </w:rPr>
        <w:t>A proposta é que o Grupo de Pessoas (Excluindo VGBL) siga a metodologia padrão apresentada, levando em consideração as seguintes faixas de Capital Segurado, que tiveram como referência as coberturas básicas:</w:t>
      </w:r>
    </w:p>
    <w:p w14:paraId="13B42D5C" w14:textId="77777777" w:rsidR="00F133E4" w:rsidRPr="00F65A6A" w:rsidRDefault="00F133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A6A">
        <w:rPr>
          <w:rFonts w:ascii="Arial" w:hAnsi="Arial" w:cs="Arial"/>
          <w:sz w:val="24"/>
          <w:szCs w:val="24"/>
        </w:rPr>
        <w:t xml:space="preserve">0 – 50.000,00; </w:t>
      </w:r>
    </w:p>
    <w:p w14:paraId="023CE124" w14:textId="77777777" w:rsidR="00F133E4" w:rsidRPr="00F65A6A" w:rsidRDefault="00F133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A6A">
        <w:rPr>
          <w:rFonts w:ascii="Arial" w:hAnsi="Arial" w:cs="Arial"/>
          <w:sz w:val="24"/>
          <w:szCs w:val="24"/>
        </w:rPr>
        <w:t xml:space="preserve">50.000,01 – 150.000,00; </w:t>
      </w:r>
    </w:p>
    <w:p w14:paraId="7495D6D3" w14:textId="77777777" w:rsidR="00F133E4" w:rsidRPr="00F65A6A" w:rsidRDefault="00F133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A6A">
        <w:rPr>
          <w:rFonts w:ascii="Arial" w:hAnsi="Arial" w:cs="Arial"/>
          <w:sz w:val="24"/>
          <w:szCs w:val="24"/>
        </w:rPr>
        <w:t xml:space="preserve">150.000,01 – 300.000,00; </w:t>
      </w:r>
    </w:p>
    <w:p w14:paraId="6BC22E82" w14:textId="6EF57B18" w:rsidR="00F133E4" w:rsidRPr="00025DAD" w:rsidRDefault="00F133E4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A6A">
        <w:rPr>
          <w:rFonts w:ascii="Arial" w:hAnsi="Arial" w:cs="Arial"/>
          <w:sz w:val="24"/>
          <w:szCs w:val="24"/>
        </w:rPr>
        <w:t>300.000,01 – 500.000,00.</w:t>
      </w:r>
    </w:p>
    <w:p w14:paraId="0E5B18BA" w14:textId="4BB60EBA" w:rsidR="00711E7F" w:rsidRPr="00F27DE6" w:rsidRDefault="00FE6FB2">
      <w:pPr>
        <w:pStyle w:val="Estilo1"/>
        <w:numPr>
          <w:ilvl w:val="2"/>
          <w:numId w:val="13"/>
        </w:numPr>
      </w:pPr>
      <w:bookmarkStart w:id="12" w:name="_Toc159511134"/>
      <w:bookmarkStart w:id="13" w:name="_Toc159927017"/>
      <w:r w:rsidRPr="0051121A">
        <w:t>Premissa</w:t>
      </w:r>
      <w:r w:rsidR="00853025" w:rsidRPr="0051121A">
        <w:t>s</w:t>
      </w:r>
      <w:bookmarkEnd w:id="12"/>
      <w:bookmarkEnd w:id="13"/>
    </w:p>
    <w:p w14:paraId="137F231F" w14:textId="77777777" w:rsidR="00F133E4" w:rsidRPr="00F65A6A" w:rsidRDefault="00F133E4" w:rsidP="00025DAD">
      <w:pPr>
        <w:spacing w:line="360" w:lineRule="auto"/>
        <w:ind w:left="450" w:firstLine="630"/>
        <w:jc w:val="both"/>
        <w:rPr>
          <w:rFonts w:ascii="Arial" w:hAnsi="Arial" w:cs="Arial"/>
          <w:sz w:val="24"/>
          <w:szCs w:val="24"/>
        </w:rPr>
      </w:pPr>
      <w:r w:rsidRPr="00F65A6A">
        <w:rPr>
          <w:rFonts w:ascii="Arial" w:hAnsi="Arial" w:cs="Arial"/>
          <w:sz w:val="24"/>
          <w:szCs w:val="24"/>
        </w:rPr>
        <w:t xml:space="preserve">Neste grupo serão consideradas as premissas padronizadas, mencionadas anteriormente, com o acréscimo da seguinte que será apresentada também no </w:t>
      </w:r>
      <w:proofErr w:type="spellStart"/>
      <w:r w:rsidRPr="00F65A6A">
        <w:rPr>
          <w:rFonts w:ascii="Arial" w:hAnsi="Arial" w:cs="Arial"/>
          <w:i/>
          <w:iCs/>
          <w:sz w:val="24"/>
          <w:szCs w:val="24"/>
        </w:rPr>
        <w:t>disclaimer</w:t>
      </w:r>
      <w:proofErr w:type="spellEnd"/>
      <w:r w:rsidRPr="00F65A6A">
        <w:rPr>
          <w:rFonts w:ascii="Arial" w:hAnsi="Arial" w:cs="Arial"/>
          <w:sz w:val="24"/>
          <w:szCs w:val="24"/>
        </w:rPr>
        <w:t>:</w:t>
      </w:r>
    </w:p>
    <w:p w14:paraId="3B01AA60" w14:textId="3D4F4686" w:rsidR="002670C9" w:rsidRPr="00765FD4" w:rsidRDefault="00F133E4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65A6A">
        <w:rPr>
          <w:rFonts w:ascii="Arial" w:hAnsi="Arial" w:cs="Arial"/>
          <w:sz w:val="24"/>
          <w:szCs w:val="24"/>
        </w:rPr>
        <w:t>Esta informação será reportada considerando as modalidades “Vida” e “Acidentes pessoa</w:t>
      </w:r>
      <w:r w:rsidRPr="00765FD4">
        <w:rPr>
          <w:rFonts w:ascii="Arial" w:hAnsi="Arial" w:cs="Arial"/>
          <w:sz w:val="24"/>
          <w:szCs w:val="24"/>
        </w:rPr>
        <w:t xml:space="preserve">is”. </w:t>
      </w:r>
    </w:p>
    <w:p w14:paraId="018C4155" w14:textId="186D485F" w:rsidR="002670C9" w:rsidRPr="00F27DE6" w:rsidRDefault="001217AE">
      <w:pPr>
        <w:pStyle w:val="Estilo1"/>
        <w:numPr>
          <w:ilvl w:val="2"/>
          <w:numId w:val="13"/>
        </w:numPr>
        <w:rPr>
          <w:i/>
          <w:iCs/>
        </w:rPr>
      </w:pPr>
      <w:bookmarkStart w:id="14" w:name="_Toc159511135"/>
      <w:bookmarkStart w:id="15" w:name="_Toc159927018"/>
      <w:proofErr w:type="spellStart"/>
      <w:r w:rsidRPr="00F27DE6">
        <w:rPr>
          <w:i/>
          <w:iCs/>
        </w:rPr>
        <w:t>Disclaimer</w:t>
      </w:r>
      <w:bookmarkEnd w:id="14"/>
      <w:bookmarkEnd w:id="15"/>
      <w:proofErr w:type="spellEnd"/>
    </w:p>
    <w:p w14:paraId="66A55229" w14:textId="7E4384A6" w:rsidR="00237130" w:rsidRPr="00765FD4" w:rsidRDefault="00237130" w:rsidP="00237130">
      <w:pPr>
        <w:spacing w:line="360" w:lineRule="auto"/>
        <w:ind w:left="426" w:firstLine="708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Neste grupo serão considerad</w:t>
      </w:r>
      <w:r w:rsidR="00D36C38" w:rsidRPr="00765FD4">
        <w:rPr>
          <w:rFonts w:ascii="Arial" w:hAnsi="Arial" w:cs="Arial"/>
          <w:sz w:val="24"/>
          <w:szCs w:val="24"/>
        </w:rPr>
        <w:t>o</w:t>
      </w:r>
      <w:r w:rsidRPr="00765FD4">
        <w:rPr>
          <w:rFonts w:ascii="Arial" w:hAnsi="Arial" w:cs="Arial"/>
          <w:sz w:val="24"/>
          <w:szCs w:val="24"/>
        </w:rPr>
        <w:t xml:space="preserve">s os </w:t>
      </w:r>
      <w:proofErr w:type="spellStart"/>
      <w:r w:rsidRPr="00765FD4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Pr="00765FD4">
        <w:rPr>
          <w:rFonts w:ascii="Arial" w:hAnsi="Arial" w:cs="Arial"/>
          <w:sz w:val="24"/>
          <w:szCs w:val="24"/>
        </w:rPr>
        <w:t xml:space="preserve"> padronizad</w:t>
      </w:r>
      <w:r w:rsidR="00D36C38" w:rsidRPr="00765FD4">
        <w:rPr>
          <w:rFonts w:ascii="Arial" w:hAnsi="Arial" w:cs="Arial"/>
          <w:sz w:val="24"/>
          <w:szCs w:val="24"/>
        </w:rPr>
        <w:t>o</w:t>
      </w:r>
      <w:r w:rsidRPr="00765FD4">
        <w:rPr>
          <w:rFonts w:ascii="Arial" w:hAnsi="Arial" w:cs="Arial"/>
          <w:sz w:val="24"/>
          <w:szCs w:val="24"/>
        </w:rPr>
        <w:t>s, mencionad</w:t>
      </w:r>
      <w:r w:rsidR="00D36C38" w:rsidRPr="00765FD4">
        <w:rPr>
          <w:rFonts w:ascii="Arial" w:hAnsi="Arial" w:cs="Arial"/>
          <w:sz w:val="24"/>
          <w:szCs w:val="24"/>
        </w:rPr>
        <w:t>o</w:t>
      </w:r>
      <w:r w:rsidRPr="00765FD4">
        <w:rPr>
          <w:rFonts w:ascii="Arial" w:hAnsi="Arial" w:cs="Arial"/>
          <w:sz w:val="24"/>
          <w:szCs w:val="24"/>
        </w:rPr>
        <w:t>s anteriormente, com o acréscimo d</w:t>
      </w:r>
      <w:r w:rsidR="00D36C38" w:rsidRPr="00765FD4">
        <w:rPr>
          <w:rFonts w:ascii="Arial" w:hAnsi="Arial" w:cs="Arial"/>
          <w:sz w:val="24"/>
          <w:szCs w:val="24"/>
        </w:rPr>
        <w:t>o</w:t>
      </w:r>
      <w:r w:rsidRPr="00765FD4">
        <w:rPr>
          <w:rFonts w:ascii="Arial" w:hAnsi="Arial" w:cs="Arial"/>
          <w:sz w:val="24"/>
          <w:szCs w:val="24"/>
        </w:rPr>
        <w:t xml:space="preserve"> seguinte:</w:t>
      </w:r>
    </w:p>
    <w:p w14:paraId="64CC34C9" w14:textId="71BE4E5A" w:rsidR="00A91912" w:rsidRPr="00765FD4" w:rsidRDefault="00D36C3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E</w:t>
      </w:r>
      <w:r w:rsidR="000529A9" w:rsidRPr="00765FD4">
        <w:rPr>
          <w:rFonts w:ascii="Arial" w:hAnsi="Arial" w:cs="Arial"/>
          <w:sz w:val="24"/>
          <w:szCs w:val="24"/>
        </w:rPr>
        <w:t>ssa</w:t>
      </w:r>
      <w:r w:rsidR="000C5A97" w:rsidRPr="00765FD4">
        <w:rPr>
          <w:rFonts w:ascii="Arial" w:hAnsi="Arial" w:cs="Arial"/>
          <w:sz w:val="24"/>
          <w:szCs w:val="24"/>
        </w:rPr>
        <w:t xml:space="preserve"> informação </w:t>
      </w:r>
      <w:r w:rsidR="00BB1DAB" w:rsidRPr="00765FD4">
        <w:rPr>
          <w:rFonts w:ascii="Arial" w:hAnsi="Arial" w:cs="Arial"/>
          <w:sz w:val="24"/>
          <w:szCs w:val="24"/>
        </w:rPr>
        <w:t xml:space="preserve">considera as modalidades de </w:t>
      </w:r>
      <w:r w:rsidR="000D3443" w:rsidRPr="00765FD4">
        <w:rPr>
          <w:rFonts w:ascii="Arial" w:hAnsi="Arial" w:cs="Arial"/>
          <w:sz w:val="24"/>
          <w:szCs w:val="24"/>
        </w:rPr>
        <w:t>“</w:t>
      </w:r>
      <w:r w:rsidR="00BB1DAB" w:rsidRPr="00765FD4">
        <w:rPr>
          <w:rFonts w:ascii="Arial" w:hAnsi="Arial" w:cs="Arial"/>
          <w:sz w:val="24"/>
          <w:szCs w:val="24"/>
        </w:rPr>
        <w:t>vida</w:t>
      </w:r>
      <w:r w:rsidR="000D3443" w:rsidRPr="00765FD4">
        <w:rPr>
          <w:rFonts w:ascii="Arial" w:hAnsi="Arial" w:cs="Arial"/>
          <w:sz w:val="24"/>
          <w:szCs w:val="24"/>
        </w:rPr>
        <w:t>”</w:t>
      </w:r>
      <w:r w:rsidR="00BB1DAB" w:rsidRPr="00765FD4">
        <w:rPr>
          <w:rFonts w:ascii="Arial" w:hAnsi="Arial" w:cs="Arial"/>
          <w:sz w:val="24"/>
          <w:szCs w:val="24"/>
        </w:rPr>
        <w:t xml:space="preserve"> e </w:t>
      </w:r>
      <w:r w:rsidR="000D3443" w:rsidRPr="00765FD4">
        <w:rPr>
          <w:rFonts w:ascii="Arial" w:hAnsi="Arial" w:cs="Arial"/>
          <w:sz w:val="24"/>
          <w:szCs w:val="24"/>
        </w:rPr>
        <w:t>“</w:t>
      </w:r>
      <w:r w:rsidR="00BB1DAB" w:rsidRPr="00765FD4">
        <w:rPr>
          <w:rFonts w:ascii="Arial" w:hAnsi="Arial" w:cs="Arial"/>
          <w:sz w:val="24"/>
          <w:szCs w:val="24"/>
        </w:rPr>
        <w:t>acidentes pessoais</w:t>
      </w:r>
      <w:r w:rsidR="000D3443" w:rsidRPr="00765FD4">
        <w:rPr>
          <w:rFonts w:ascii="Arial" w:hAnsi="Arial" w:cs="Arial"/>
          <w:sz w:val="24"/>
          <w:szCs w:val="24"/>
        </w:rPr>
        <w:t>”</w:t>
      </w:r>
      <w:r w:rsidR="00BB1DAB" w:rsidRPr="00765FD4">
        <w:rPr>
          <w:rFonts w:ascii="Arial" w:hAnsi="Arial" w:cs="Arial"/>
          <w:sz w:val="24"/>
          <w:szCs w:val="24"/>
        </w:rPr>
        <w:t>.</w:t>
      </w:r>
    </w:p>
    <w:p w14:paraId="06014C06" w14:textId="1CEE460E" w:rsidR="00F133E4" w:rsidRPr="00F27DE6" w:rsidRDefault="00A91912">
      <w:pPr>
        <w:pStyle w:val="Estilo1"/>
        <w:numPr>
          <w:ilvl w:val="2"/>
          <w:numId w:val="13"/>
        </w:numPr>
        <w:rPr>
          <w:i/>
          <w:iCs/>
        </w:rPr>
      </w:pPr>
      <w:bookmarkStart w:id="16" w:name="_Toc159511136"/>
      <w:bookmarkStart w:id="17" w:name="_Toc159927019"/>
      <w:r w:rsidRPr="00F27DE6">
        <w:rPr>
          <w:i/>
          <w:iCs/>
        </w:rPr>
        <w:t>Cobertura</w:t>
      </w:r>
      <w:r w:rsidR="004726FD" w:rsidRPr="00F27DE6">
        <w:rPr>
          <w:i/>
          <w:iCs/>
        </w:rPr>
        <w:t>s</w:t>
      </w:r>
      <w:bookmarkEnd w:id="16"/>
      <w:bookmarkEnd w:id="17"/>
    </w:p>
    <w:p w14:paraId="7ACE3C05" w14:textId="77777777" w:rsidR="00F133E4" w:rsidRPr="00F65A6A" w:rsidRDefault="00F133E4" w:rsidP="00025DAD">
      <w:pPr>
        <w:pStyle w:val="PargrafodaLista"/>
        <w:spacing w:line="360" w:lineRule="auto"/>
        <w:ind w:left="360" w:firstLine="696"/>
        <w:jc w:val="both"/>
        <w:rPr>
          <w:rFonts w:ascii="Arial" w:hAnsi="Arial" w:cs="Arial"/>
          <w:sz w:val="24"/>
          <w:szCs w:val="24"/>
        </w:rPr>
      </w:pPr>
      <w:r w:rsidRPr="00F65A6A">
        <w:rPr>
          <w:rFonts w:ascii="Arial" w:hAnsi="Arial" w:cs="Arial"/>
          <w:sz w:val="24"/>
          <w:szCs w:val="24"/>
        </w:rPr>
        <w:t xml:space="preserve">Nota-se que o valor do prêmio apresentado, conforme premissa padrão, se trata do valor total da apólice considerando as coberturas básicas + coberturas </w:t>
      </w:r>
      <w:r w:rsidRPr="006A059E">
        <w:rPr>
          <w:rFonts w:ascii="Arial" w:hAnsi="Arial" w:cs="Arial"/>
          <w:sz w:val="24"/>
          <w:szCs w:val="24"/>
        </w:rPr>
        <w:t>adicionais, formato aplicado a todos os produtos. Desta</w:t>
      </w:r>
      <w:r w:rsidRPr="00F65A6A">
        <w:rPr>
          <w:rFonts w:ascii="Arial" w:hAnsi="Arial" w:cs="Arial"/>
          <w:sz w:val="24"/>
          <w:szCs w:val="24"/>
        </w:rPr>
        <w:t xml:space="preserve"> forma são apresentados os valores de prêmios realmente pagos pelos consumidores de seguros na prática.</w:t>
      </w:r>
    </w:p>
    <w:p w14:paraId="604AAC6D" w14:textId="4E5DD2F0" w:rsidR="009B043B" w:rsidRPr="006D79F7" w:rsidRDefault="00F133E4" w:rsidP="005077D9">
      <w:pPr>
        <w:pStyle w:val="PargrafodaLista"/>
        <w:spacing w:line="360" w:lineRule="auto"/>
        <w:ind w:left="360" w:firstLine="696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Por fim, considera-se como coberturas básicas: </w:t>
      </w:r>
      <w:r w:rsidR="009862D2" w:rsidRPr="00765FD4">
        <w:rPr>
          <w:rFonts w:ascii="Arial" w:hAnsi="Arial" w:cs="Arial"/>
          <w:sz w:val="24"/>
          <w:szCs w:val="24"/>
        </w:rPr>
        <w:t>“</w:t>
      </w:r>
      <w:r w:rsidRPr="00765FD4">
        <w:rPr>
          <w:rFonts w:ascii="Arial" w:hAnsi="Arial" w:cs="Arial"/>
          <w:sz w:val="24"/>
          <w:szCs w:val="24"/>
        </w:rPr>
        <w:t>morte</w:t>
      </w:r>
      <w:r w:rsidR="009862D2" w:rsidRPr="00765FD4">
        <w:rPr>
          <w:rFonts w:ascii="Arial" w:hAnsi="Arial" w:cs="Arial"/>
          <w:sz w:val="24"/>
          <w:szCs w:val="24"/>
        </w:rPr>
        <w:t>”</w:t>
      </w:r>
      <w:r w:rsidRPr="00765FD4">
        <w:rPr>
          <w:rFonts w:ascii="Arial" w:hAnsi="Arial" w:cs="Arial"/>
          <w:sz w:val="24"/>
          <w:szCs w:val="24"/>
        </w:rPr>
        <w:t xml:space="preserve"> ou </w:t>
      </w:r>
      <w:r w:rsidR="009862D2" w:rsidRPr="00765FD4">
        <w:rPr>
          <w:rFonts w:ascii="Arial" w:hAnsi="Arial" w:cs="Arial"/>
          <w:sz w:val="24"/>
          <w:szCs w:val="24"/>
        </w:rPr>
        <w:t>“</w:t>
      </w:r>
      <w:r w:rsidRPr="00765FD4">
        <w:rPr>
          <w:rFonts w:ascii="Arial" w:hAnsi="Arial" w:cs="Arial"/>
          <w:sz w:val="24"/>
          <w:szCs w:val="24"/>
        </w:rPr>
        <w:t>morte acidental</w:t>
      </w:r>
      <w:r w:rsidR="00E210C7" w:rsidRPr="00765FD4">
        <w:rPr>
          <w:rFonts w:ascii="Arial" w:hAnsi="Arial" w:cs="Arial"/>
          <w:sz w:val="24"/>
          <w:szCs w:val="24"/>
        </w:rPr>
        <w:t>”</w:t>
      </w:r>
      <w:r w:rsidRPr="00765FD4">
        <w:rPr>
          <w:rFonts w:ascii="Arial" w:hAnsi="Arial" w:cs="Arial"/>
          <w:sz w:val="24"/>
          <w:szCs w:val="24"/>
        </w:rPr>
        <w:t xml:space="preserve"> ou </w:t>
      </w:r>
      <w:r w:rsidR="00E210C7" w:rsidRPr="00765FD4">
        <w:rPr>
          <w:rFonts w:ascii="Arial" w:hAnsi="Arial" w:cs="Arial"/>
          <w:sz w:val="24"/>
          <w:szCs w:val="24"/>
        </w:rPr>
        <w:t>“</w:t>
      </w:r>
      <w:r w:rsidRPr="00765FD4">
        <w:rPr>
          <w:rFonts w:ascii="Arial" w:hAnsi="Arial" w:cs="Arial"/>
          <w:sz w:val="24"/>
          <w:szCs w:val="24"/>
        </w:rPr>
        <w:t>Invalidez total por acidente</w:t>
      </w:r>
      <w:r w:rsidR="00E210C7" w:rsidRPr="00765FD4">
        <w:rPr>
          <w:rFonts w:ascii="Arial" w:hAnsi="Arial" w:cs="Arial"/>
          <w:sz w:val="24"/>
          <w:szCs w:val="24"/>
        </w:rPr>
        <w:t>”</w:t>
      </w:r>
      <w:r w:rsidRPr="00765FD4">
        <w:rPr>
          <w:rFonts w:ascii="Arial" w:hAnsi="Arial" w:cs="Arial"/>
          <w:sz w:val="24"/>
          <w:szCs w:val="24"/>
        </w:rPr>
        <w:t xml:space="preserve"> ou </w:t>
      </w:r>
      <w:r w:rsidR="00E210C7" w:rsidRPr="00765FD4">
        <w:rPr>
          <w:rFonts w:ascii="Arial" w:hAnsi="Arial" w:cs="Arial"/>
          <w:sz w:val="24"/>
          <w:szCs w:val="24"/>
        </w:rPr>
        <w:t>“</w:t>
      </w:r>
      <w:r w:rsidRPr="00765FD4">
        <w:rPr>
          <w:rFonts w:ascii="Arial" w:hAnsi="Arial" w:cs="Arial"/>
          <w:sz w:val="24"/>
          <w:szCs w:val="24"/>
        </w:rPr>
        <w:t>Invalidez parcial por acidente</w:t>
      </w:r>
      <w:r w:rsidR="00E210C7" w:rsidRPr="00765FD4">
        <w:rPr>
          <w:rFonts w:ascii="Arial" w:hAnsi="Arial" w:cs="Arial"/>
          <w:sz w:val="24"/>
          <w:szCs w:val="24"/>
        </w:rPr>
        <w:t>”</w:t>
      </w:r>
      <w:r w:rsidRPr="00765FD4">
        <w:rPr>
          <w:rFonts w:ascii="Arial" w:hAnsi="Arial" w:cs="Arial"/>
          <w:sz w:val="24"/>
          <w:szCs w:val="24"/>
        </w:rPr>
        <w:t xml:space="preserve"> ou </w:t>
      </w:r>
      <w:r w:rsidR="00E210C7" w:rsidRPr="00765FD4">
        <w:rPr>
          <w:rFonts w:ascii="Arial" w:hAnsi="Arial" w:cs="Arial"/>
          <w:sz w:val="24"/>
          <w:szCs w:val="24"/>
        </w:rPr>
        <w:t>“</w:t>
      </w:r>
      <w:r w:rsidRPr="00765FD4">
        <w:rPr>
          <w:rFonts w:ascii="Arial" w:hAnsi="Arial" w:cs="Arial"/>
          <w:sz w:val="24"/>
          <w:szCs w:val="24"/>
        </w:rPr>
        <w:t>Invalidez total e parcial por acidente</w:t>
      </w:r>
      <w:r w:rsidR="00E210C7" w:rsidRPr="00765FD4">
        <w:rPr>
          <w:rFonts w:ascii="Arial" w:hAnsi="Arial" w:cs="Arial"/>
          <w:sz w:val="24"/>
          <w:szCs w:val="24"/>
        </w:rPr>
        <w:t>”</w:t>
      </w:r>
      <w:r w:rsidRPr="00765FD4">
        <w:rPr>
          <w:rFonts w:ascii="Arial" w:hAnsi="Arial" w:cs="Arial"/>
          <w:sz w:val="24"/>
          <w:szCs w:val="24"/>
        </w:rPr>
        <w:t xml:space="preserve"> ou </w:t>
      </w:r>
      <w:r w:rsidR="00D30E15" w:rsidRPr="00765FD4">
        <w:rPr>
          <w:rFonts w:ascii="Arial" w:hAnsi="Arial" w:cs="Arial"/>
          <w:sz w:val="24"/>
          <w:szCs w:val="24"/>
        </w:rPr>
        <w:t>“</w:t>
      </w:r>
      <w:r w:rsidRPr="00765FD4">
        <w:rPr>
          <w:rFonts w:ascii="Arial" w:hAnsi="Arial" w:cs="Arial"/>
          <w:sz w:val="24"/>
          <w:szCs w:val="24"/>
        </w:rPr>
        <w:t>doença grave</w:t>
      </w:r>
      <w:r w:rsidR="00D30E15" w:rsidRPr="00765FD4">
        <w:rPr>
          <w:rFonts w:ascii="Arial" w:hAnsi="Arial" w:cs="Arial"/>
          <w:sz w:val="24"/>
          <w:szCs w:val="24"/>
        </w:rPr>
        <w:t>”</w:t>
      </w:r>
      <w:r w:rsidRPr="00765FD4">
        <w:rPr>
          <w:rFonts w:ascii="Arial" w:hAnsi="Arial" w:cs="Arial"/>
          <w:sz w:val="24"/>
          <w:szCs w:val="24"/>
        </w:rPr>
        <w:t>.</w:t>
      </w:r>
    </w:p>
    <w:p w14:paraId="1861C336" w14:textId="77777777" w:rsidR="00F27DE6" w:rsidRDefault="00A568D3">
      <w:pPr>
        <w:pStyle w:val="Estilo1"/>
        <w:numPr>
          <w:ilvl w:val="1"/>
          <w:numId w:val="13"/>
        </w:numPr>
      </w:pPr>
      <w:bookmarkStart w:id="18" w:name="_Toc159511138"/>
      <w:bookmarkStart w:id="19" w:name="_Toc159927020"/>
      <w:r w:rsidRPr="006D79F7">
        <w:lastRenderedPageBreak/>
        <w:t>Planos de Previdência com cobertura de risco</w:t>
      </w:r>
      <w:bookmarkEnd w:id="18"/>
      <w:bookmarkEnd w:id="19"/>
      <w:r w:rsidR="000A2F46" w:rsidRPr="00F27DE6">
        <w:t xml:space="preserve"> </w:t>
      </w:r>
      <w:bookmarkStart w:id="20" w:name="_Toc159511139"/>
    </w:p>
    <w:p w14:paraId="61FFA6E9" w14:textId="57C76B07" w:rsidR="00E14BDC" w:rsidRPr="00F27DE6" w:rsidRDefault="000A2B54">
      <w:pPr>
        <w:pStyle w:val="Estilo1"/>
        <w:numPr>
          <w:ilvl w:val="2"/>
          <w:numId w:val="13"/>
        </w:numPr>
      </w:pPr>
      <w:bookmarkStart w:id="21" w:name="_Toc159927021"/>
      <w:r w:rsidRPr="000E2C96">
        <w:t>Metodologia</w:t>
      </w:r>
      <w:bookmarkEnd w:id="20"/>
      <w:bookmarkEnd w:id="21"/>
    </w:p>
    <w:p w14:paraId="0BA2A644" w14:textId="025EFD07" w:rsidR="00870F22" w:rsidRPr="006D79F7" w:rsidRDefault="00870F22" w:rsidP="0030159C">
      <w:pPr>
        <w:spacing w:line="36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A proposta é que o </w:t>
      </w:r>
      <w:r w:rsidR="00FF5167" w:rsidRPr="006D79F7">
        <w:rPr>
          <w:rFonts w:ascii="Arial" w:hAnsi="Arial" w:cs="Arial"/>
          <w:sz w:val="24"/>
          <w:szCs w:val="24"/>
        </w:rPr>
        <w:t xml:space="preserve">produto de Previdência Risco </w:t>
      </w:r>
      <w:r w:rsidRPr="006D79F7">
        <w:rPr>
          <w:rFonts w:ascii="Arial" w:hAnsi="Arial" w:cs="Arial"/>
          <w:sz w:val="24"/>
          <w:szCs w:val="24"/>
        </w:rPr>
        <w:t>siga a metodologia padrão apresentada, levando em consideração as seguintes faixas de Capital Segurado, que tiveram como referência as coberturas básicas:</w:t>
      </w:r>
    </w:p>
    <w:p w14:paraId="1ED358E3" w14:textId="77777777" w:rsidR="00801186" w:rsidRPr="006D79F7" w:rsidRDefault="0080118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0 – 5.000,00; </w:t>
      </w:r>
    </w:p>
    <w:p w14:paraId="2D05CEBD" w14:textId="77777777" w:rsidR="00801186" w:rsidRPr="006D79F7" w:rsidRDefault="0080118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5.000,01 – 15.000,00; </w:t>
      </w:r>
    </w:p>
    <w:p w14:paraId="52D8ED12" w14:textId="77777777" w:rsidR="00801186" w:rsidRPr="006D79F7" w:rsidRDefault="0080118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15.000,01 – 200.000,00; </w:t>
      </w:r>
    </w:p>
    <w:p w14:paraId="1CF57B3B" w14:textId="301D7B71" w:rsidR="00870F22" w:rsidRPr="00C31FD4" w:rsidRDefault="00801186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200.000,01 – 500.000,00</w:t>
      </w:r>
      <w:r w:rsidR="00870F22" w:rsidRPr="006D79F7">
        <w:rPr>
          <w:rFonts w:ascii="Arial" w:hAnsi="Arial" w:cs="Arial"/>
          <w:sz w:val="24"/>
          <w:szCs w:val="24"/>
        </w:rPr>
        <w:t>.</w:t>
      </w:r>
    </w:p>
    <w:p w14:paraId="5DA5CBD4" w14:textId="7308EC88" w:rsidR="00596066" w:rsidRPr="00F27DE6" w:rsidRDefault="000E2C96">
      <w:pPr>
        <w:pStyle w:val="Estilo1"/>
        <w:numPr>
          <w:ilvl w:val="2"/>
          <w:numId w:val="13"/>
        </w:numPr>
      </w:pPr>
      <w:bookmarkStart w:id="22" w:name="_Toc159511140"/>
      <w:bookmarkStart w:id="23" w:name="_Toc159927022"/>
      <w:r w:rsidRPr="000E2C96">
        <w:t>Premissa</w:t>
      </w:r>
      <w:r w:rsidR="00853025">
        <w:t>s</w:t>
      </w:r>
      <w:bookmarkEnd w:id="22"/>
      <w:bookmarkEnd w:id="23"/>
    </w:p>
    <w:p w14:paraId="33009619" w14:textId="5B03C54A" w:rsidR="00145D90" w:rsidRPr="006D79F7" w:rsidRDefault="00145D90" w:rsidP="0030159C">
      <w:pPr>
        <w:spacing w:line="360" w:lineRule="auto"/>
        <w:ind w:left="450" w:firstLine="63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Neste grupo serão consideradas as premissas padronizadas, mencionadas anteriormente, com o acréscimo da</w:t>
      </w:r>
      <w:r w:rsidR="002927DF" w:rsidRPr="006D79F7">
        <w:rPr>
          <w:rFonts w:ascii="Arial" w:hAnsi="Arial" w:cs="Arial"/>
          <w:sz w:val="24"/>
          <w:szCs w:val="24"/>
        </w:rPr>
        <w:t>s</w:t>
      </w:r>
      <w:r w:rsidRPr="006D79F7">
        <w:rPr>
          <w:rFonts w:ascii="Arial" w:hAnsi="Arial" w:cs="Arial"/>
          <w:sz w:val="24"/>
          <w:szCs w:val="24"/>
        </w:rPr>
        <w:t xml:space="preserve"> seguinte</w:t>
      </w:r>
      <w:r w:rsidR="002927DF" w:rsidRPr="006D79F7">
        <w:rPr>
          <w:rFonts w:ascii="Arial" w:hAnsi="Arial" w:cs="Arial"/>
          <w:sz w:val="24"/>
          <w:szCs w:val="24"/>
        </w:rPr>
        <w:t>s</w:t>
      </w:r>
      <w:r w:rsidR="00572BB2">
        <w:rPr>
          <w:rFonts w:ascii="Arial" w:hAnsi="Arial" w:cs="Arial"/>
          <w:sz w:val="24"/>
          <w:szCs w:val="24"/>
        </w:rPr>
        <w:t>:</w:t>
      </w:r>
    </w:p>
    <w:p w14:paraId="61A6D5D7" w14:textId="4D2E45DE" w:rsidR="00870F22" w:rsidRPr="00765FD4" w:rsidRDefault="00870F22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Esta informação</w:t>
      </w:r>
      <w:r w:rsidR="00C4274F" w:rsidRPr="006D79F7">
        <w:rPr>
          <w:rFonts w:ascii="Arial" w:hAnsi="Arial" w:cs="Arial"/>
          <w:sz w:val="24"/>
          <w:szCs w:val="24"/>
        </w:rPr>
        <w:t xml:space="preserve"> s</w:t>
      </w:r>
      <w:r w:rsidRPr="006D79F7">
        <w:rPr>
          <w:rFonts w:ascii="Arial" w:hAnsi="Arial" w:cs="Arial"/>
          <w:sz w:val="24"/>
          <w:szCs w:val="24"/>
        </w:rPr>
        <w:t xml:space="preserve">erá reportada </w:t>
      </w:r>
      <w:r w:rsidR="003412CE" w:rsidRPr="006D79F7">
        <w:rPr>
          <w:rFonts w:ascii="Arial" w:hAnsi="Arial" w:cs="Arial"/>
          <w:sz w:val="24"/>
          <w:szCs w:val="24"/>
        </w:rPr>
        <w:t>considerando</w:t>
      </w:r>
      <w:r w:rsidRPr="006D79F7">
        <w:rPr>
          <w:rFonts w:ascii="Arial" w:hAnsi="Arial" w:cs="Arial"/>
          <w:sz w:val="24"/>
          <w:szCs w:val="24"/>
        </w:rPr>
        <w:t xml:space="preserve"> as modalidades </w:t>
      </w:r>
      <w:r w:rsidR="00BE74D3" w:rsidRPr="006D79F7">
        <w:rPr>
          <w:rFonts w:ascii="Arial" w:hAnsi="Arial" w:cs="Arial"/>
          <w:sz w:val="24"/>
          <w:szCs w:val="24"/>
        </w:rPr>
        <w:t xml:space="preserve">relacionadas </w:t>
      </w:r>
      <w:r w:rsidR="00B641E4">
        <w:rPr>
          <w:rFonts w:ascii="Arial" w:hAnsi="Arial" w:cs="Arial"/>
          <w:sz w:val="24"/>
          <w:szCs w:val="24"/>
        </w:rPr>
        <w:t>à</w:t>
      </w:r>
      <w:r w:rsidR="00BE74D3" w:rsidRPr="006D79F7">
        <w:rPr>
          <w:rFonts w:ascii="Arial" w:hAnsi="Arial" w:cs="Arial"/>
          <w:sz w:val="24"/>
          <w:szCs w:val="24"/>
        </w:rPr>
        <w:t xml:space="preserve"> Pensão</w:t>
      </w:r>
      <w:r w:rsidR="00FB0D3E" w:rsidRPr="006D79F7">
        <w:rPr>
          <w:rFonts w:ascii="Arial" w:hAnsi="Arial" w:cs="Arial"/>
          <w:sz w:val="24"/>
          <w:szCs w:val="24"/>
        </w:rPr>
        <w:t xml:space="preserve">, </w:t>
      </w:r>
      <w:r w:rsidR="00B641E4">
        <w:rPr>
          <w:rFonts w:ascii="Arial" w:hAnsi="Arial" w:cs="Arial"/>
          <w:sz w:val="24"/>
          <w:szCs w:val="24"/>
        </w:rPr>
        <w:t>à</w:t>
      </w:r>
      <w:r w:rsidR="00163F73">
        <w:rPr>
          <w:rFonts w:ascii="Arial" w:hAnsi="Arial" w:cs="Arial"/>
          <w:sz w:val="24"/>
          <w:szCs w:val="24"/>
        </w:rPr>
        <w:t xml:space="preserve"> </w:t>
      </w:r>
      <w:r w:rsidR="00FB0D3E" w:rsidRPr="006D79F7">
        <w:rPr>
          <w:rFonts w:ascii="Arial" w:hAnsi="Arial" w:cs="Arial"/>
          <w:sz w:val="24"/>
          <w:szCs w:val="24"/>
        </w:rPr>
        <w:t>Renda</w:t>
      </w:r>
      <w:r w:rsidR="00BE74D3" w:rsidRPr="006D79F7">
        <w:rPr>
          <w:rFonts w:ascii="Arial" w:hAnsi="Arial" w:cs="Arial"/>
          <w:sz w:val="24"/>
          <w:szCs w:val="24"/>
        </w:rPr>
        <w:t xml:space="preserve"> e </w:t>
      </w:r>
      <w:r w:rsidR="001910A4" w:rsidRPr="006D79F7">
        <w:rPr>
          <w:rFonts w:ascii="Arial" w:hAnsi="Arial" w:cs="Arial"/>
          <w:sz w:val="24"/>
          <w:szCs w:val="24"/>
        </w:rPr>
        <w:t xml:space="preserve">ao </w:t>
      </w:r>
      <w:r w:rsidR="00BE74D3" w:rsidRPr="006D79F7">
        <w:rPr>
          <w:rFonts w:ascii="Arial" w:hAnsi="Arial" w:cs="Arial"/>
          <w:sz w:val="24"/>
          <w:szCs w:val="24"/>
        </w:rPr>
        <w:t>Pecúlio</w:t>
      </w:r>
      <w:r w:rsidR="003412CE" w:rsidRPr="00765FD4">
        <w:rPr>
          <w:rFonts w:ascii="Arial" w:hAnsi="Arial" w:cs="Arial"/>
          <w:sz w:val="24"/>
          <w:szCs w:val="24"/>
        </w:rPr>
        <w:t>.</w:t>
      </w:r>
      <w:r w:rsidR="000240D2" w:rsidRPr="00765FD4">
        <w:rPr>
          <w:rFonts w:ascii="Arial" w:hAnsi="Arial" w:cs="Arial"/>
          <w:sz w:val="24"/>
          <w:szCs w:val="24"/>
        </w:rPr>
        <w:t xml:space="preserve"> </w:t>
      </w:r>
    </w:p>
    <w:p w14:paraId="1B8D70F2" w14:textId="5E40E82A" w:rsidR="002927DF" w:rsidRPr="00765FD4" w:rsidRDefault="002927D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No caso de cobertura de pensões, está sendo considerado como Capital Segurado o valor da renda mensal</w:t>
      </w:r>
      <w:r w:rsidR="00163F73" w:rsidRPr="00765FD4">
        <w:rPr>
          <w:rFonts w:ascii="Arial" w:hAnsi="Arial" w:cs="Arial"/>
          <w:sz w:val="24"/>
          <w:szCs w:val="24"/>
        </w:rPr>
        <w:t>.</w:t>
      </w:r>
    </w:p>
    <w:p w14:paraId="7EF7496E" w14:textId="766F66F3" w:rsidR="00395B6E" w:rsidRPr="00F27DE6" w:rsidRDefault="00390DAF">
      <w:pPr>
        <w:pStyle w:val="Estilo1"/>
        <w:numPr>
          <w:ilvl w:val="2"/>
          <w:numId w:val="13"/>
        </w:numPr>
        <w:rPr>
          <w:i/>
          <w:iCs/>
        </w:rPr>
      </w:pPr>
      <w:bookmarkStart w:id="24" w:name="_Toc159511141"/>
      <w:bookmarkStart w:id="25" w:name="_Toc159927023"/>
      <w:proofErr w:type="spellStart"/>
      <w:r w:rsidRPr="00F27DE6">
        <w:rPr>
          <w:i/>
          <w:iCs/>
        </w:rPr>
        <w:t>Disclaimer</w:t>
      </w:r>
      <w:bookmarkEnd w:id="24"/>
      <w:bookmarkEnd w:id="25"/>
      <w:proofErr w:type="spellEnd"/>
    </w:p>
    <w:p w14:paraId="26CDC42E" w14:textId="2EBF88AA" w:rsidR="00572BB2" w:rsidRPr="00765FD4" w:rsidRDefault="00572BB2" w:rsidP="00572BB2">
      <w:pPr>
        <w:spacing w:line="360" w:lineRule="auto"/>
        <w:ind w:left="450" w:firstLine="630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765FD4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Pr="00765FD4">
        <w:rPr>
          <w:rFonts w:ascii="Arial" w:hAnsi="Arial" w:cs="Arial"/>
          <w:i/>
          <w:iCs/>
          <w:sz w:val="24"/>
          <w:szCs w:val="24"/>
        </w:rPr>
        <w:t xml:space="preserve"> </w:t>
      </w:r>
      <w:r w:rsidRPr="00765FD4">
        <w:rPr>
          <w:rFonts w:ascii="Arial" w:hAnsi="Arial" w:cs="Arial"/>
          <w:sz w:val="24"/>
          <w:szCs w:val="24"/>
        </w:rPr>
        <w:t>padronizados, mencionados anteriormente, com o acréscimo do seguinte:</w:t>
      </w:r>
    </w:p>
    <w:p w14:paraId="44824A3F" w14:textId="0354B6B2" w:rsidR="000D53DD" w:rsidRPr="00765FD4" w:rsidRDefault="00F236A0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E</w:t>
      </w:r>
      <w:r w:rsidR="006D74C0" w:rsidRPr="00765FD4">
        <w:rPr>
          <w:rFonts w:ascii="Arial" w:hAnsi="Arial" w:cs="Arial"/>
          <w:sz w:val="24"/>
          <w:szCs w:val="24"/>
        </w:rPr>
        <w:t>ssa informação considera as modalidades relacionadas a pensão, a renda e ao pecúlio.</w:t>
      </w:r>
    </w:p>
    <w:p w14:paraId="733CCA6D" w14:textId="0A63D88E" w:rsidR="00D954BB" w:rsidRPr="00F27DE6" w:rsidRDefault="00D954BB">
      <w:pPr>
        <w:pStyle w:val="Estilo1"/>
        <w:numPr>
          <w:ilvl w:val="2"/>
          <w:numId w:val="13"/>
        </w:numPr>
      </w:pPr>
      <w:bookmarkStart w:id="26" w:name="_Toc159511142"/>
      <w:bookmarkStart w:id="27" w:name="_Toc159927024"/>
      <w:r w:rsidRPr="00F27DE6">
        <w:t>Cobertura</w:t>
      </w:r>
      <w:r w:rsidR="004726FD" w:rsidRPr="00F27DE6">
        <w:t>s</w:t>
      </w:r>
      <w:bookmarkEnd w:id="26"/>
      <w:bookmarkEnd w:id="27"/>
    </w:p>
    <w:p w14:paraId="2036C5E0" w14:textId="0BA52757" w:rsidR="00906132" w:rsidRPr="00F27DE6" w:rsidRDefault="00163F73" w:rsidP="00F27DE6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9435E7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</w:t>
      </w:r>
      <w:r w:rsidR="00FB5045" w:rsidRPr="00765FD4">
        <w:rPr>
          <w:rFonts w:ascii="Arial" w:hAnsi="Arial" w:cs="Arial"/>
          <w:sz w:val="24"/>
          <w:szCs w:val="24"/>
        </w:rPr>
        <w:t>que contenham</w:t>
      </w:r>
      <w:r w:rsidR="009435E7" w:rsidRPr="00765FD4">
        <w:rPr>
          <w:rFonts w:ascii="Arial" w:hAnsi="Arial" w:cs="Arial"/>
          <w:sz w:val="24"/>
          <w:szCs w:val="24"/>
        </w:rPr>
        <w:t xml:space="preserve"> </w:t>
      </w:r>
      <w:r w:rsidR="00FB0D3E" w:rsidRPr="00765FD4">
        <w:rPr>
          <w:rFonts w:ascii="Arial" w:hAnsi="Arial" w:cs="Arial"/>
          <w:sz w:val="24"/>
          <w:szCs w:val="24"/>
        </w:rPr>
        <w:t>todas as coberturas</w:t>
      </w:r>
      <w:r w:rsidR="001930D8" w:rsidRPr="00765FD4">
        <w:rPr>
          <w:rFonts w:ascii="Arial" w:hAnsi="Arial" w:cs="Arial"/>
          <w:sz w:val="24"/>
          <w:szCs w:val="24"/>
        </w:rPr>
        <w:t xml:space="preserve"> relacionadas a pecúlio</w:t>
      </w:r>
      <w:r w:rsidR="00FB0D3E" w:rsidRPr="00765FD4">
        <w:rPr>
          <w:rFonts w:ascii="Arial" w:hAnsi="Arial" w:cs="Arial"/>
          <w:sz w:val="24"/>
          <w:szCs w:val="24"/>
        </w:rPr>
        <w:t>,</w:t>
      </w:r>
      <w:r w:rsidR="001930D8" w:rsidRPr="00765FD4">
        <w:rPr>
          <w:rFonts w:ascii="Arial" w:hAnsi="Arial" w:cs="Arial"/>
          <w:sz w:val="24"/>
          <w:szCs w:val="24"/>
        </w:rPr>
        <w:t xml:space="preserve"> pensão</w:t>
      </w:r>
      <w:r w:rsidR="00FB0D3E" w:rsidRPr="00765FD4">
        <w:rPr>
          <w:rFonts w:ascii="Arial" w:hAnsi="Arial" w:cs="Arial"/>
          <w:sz w:val="24"/>
          <w:szCs w:val="24"/>
        </w:rPr>
        <w:t xml:space="preserve"> ou Renda</w:t>
      </w:r>
      <w:r w:rsidR="001930D8" w:rsidRPr="00765FD4">
        <w:rPr>
          <w:rFonts w:ascii="Arial" w:hAnsi="Arial" w:cs="Arial"/>
          <w:sz w:val="24"/>
          <w:szCs w:val="24"/>
        </w:rPr>
        <w:t xml:space="preserve">, conforme o Manual de Dados </w:t>
      </w:r>
      <w:r w:rsidR="00FB0D3E" w:rsidRPr="00765FD4">
        <w:rPr>
          <w:rFonts w:ascii="Arial" w:hAnsi="Arial" w:cs="Arial"/>
          <w:sz w:val="24"/>
          <w:szCs w:val="24"/>
        </w:rPr>
        <w:t>6.4</w:t>
      </w:r>
      <w:r w:rsidR="009435E7" w:rsidRPr="00765FD4">
        <w:rPr>
          <w:rFonts w:ascii="Arial" w:hAnsi="Arial" w:cs="Arial"/>
          <w:sz w:val="24"/>
          <w:szCs w:val="24"/>
        </w:rPr>
        <w:t xml:space="preserve">. </w:t>
      </w:r>
    </w:p>
    <w:p w14:paraId="56229261" w14:textId="77777777" w:rsidR="003B49D0" w:rsidRPr="006D79F7" w:rsidRDefault="003B49D0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1FAB33F6" w14:textId="77777777" w:rsidR="003B35C7" w:rsidRPr="006D79F7" w:rsidRDefault="003B35C7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12FB9848" w14:textId="77777777" w:rsidR="00825133" w:rsidRPr="00271630" w:rsidRDefault="00825133">
      <w:pPr>
        <w:rPr>
          <w:rFonts w:ascii="Arial" w:eastAsiaTheme="majorEastAsia" w:hAnsi="Arial" w:cstheme="majorBidi"/>
          <w:b/>
          <w:sz w:val="24"/>
          <w:szCs w:val="26"/>
        </w:rPr>
      </w:pPr>
    </w:p>
    <w:p w14:paraId="401EDAC8" w14:textId="77777777" w:rsidR="005A5BA3" w:rsidRDefault="00A568D3">
      <w:pPr>
        <w:pStyle w:val="Estilo1"/>
        <w:numPr>
          <w:ilvl w:val="1"/>
          <w:numId w:val="13"/>
        </w:numPr>
      </w:pPr>
      <w:bookmarkStart w:id="28" w:name="_Toc159511144"/>
      <w:bookmarkStart w:id="29" w:name="_Toc159927025"/>
      <w:r w:rsidRPr="006D79F7">
        <w:lastRenderedPageBreak/>
        <w:t xml:space="preserve">Grupo </w:t>
      </w:r>
      <w:r w:rsidR="0016675C" w:rsidRPr="006D79F7">
        <w:t>A</w:t>
      </w:r>
      <w:r w:rsidRPr="006D79F7">
        <w:t>utomóvel</w:t>
      </w:r>
      <w:bookmarkEnd w:id="28"/>
      <w:bookmarkEnd w:id="29"/>
      <w:r w:rsidR="00264E7A" w:rsidRPr="006D79F7">
        <w:t xml:space="preserve"> </w:t>
      </w:r>
      <w:bookmarkStart w:id="30" w:name="_Toc159511145"/>
    </w:p>
    <w:p w14:paraId="66C0DE79" w14:textId="07115CB9" w:rsidR="00323898" w:rsidRPr="009D24E9" w:rsidRDefault="00C10277">
      <w:pPr>
        <w:pStyle w:val="Estilo1"/>
        <w:numPr>
          <w:ilvl w:val="2"/>
          <w:numId w:val="13"/>
        </w:numPr>
      </w:pPr>
      <w:bookmarkStart w:id="31" w:name="_Toc159927026"/>
      <w:r w:rsidRPr="009D24E9">
        <w:t>Metodologia</w:t>
      </w:r>
      <w:bookmarkEnd w:id="30"/>
      <w:bookmarkEnd w:id="31"/>
    </w:p>
    <w:p w14:paraId="343D9B06" w14:textId="17C78A5C" w:rsidR="0016675C" w:rsidRPr="006D79F7" w:rsidRDefault="0016675C" w:rsidP="0030159C">
      <w:pPr>
        <w:spacing w:line="36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A proposta é que o Grupo de Automóvel siga a metodologia padrão apresentada, levando em consideração as seguintes faixas de LMI</w:t>
      </w:r>
      <w:r w:rsidR="00CF676E" w:rsidRPr="006D79F7">
        <w:rPr>
          <w:rFonts w:ascii="Arial" w:hAnsi="Arial" w:cs="Arial"/>
          <w:sz w:val="24"/>
          <w:szCs w:val="24"/>
        </w:rPr>
        <w:t xml:space="preserve">, que tiveram como referência </w:t>
      </w:r>
      <w:r w:rsidR="0081593E" w:rsidRPr="006D79F7">
        <w:rPr>
          <w:rFonts w:ascii="Arial" w:hAnsi="Arial" w:cs="Arial"/>
          <w:sz w:val="24"/>
          <w:szCs w:val="24"/>
        </w:rPr>
        <w:t xml:space="preserve">o valor </w:t>
      </w:r>
      <w:r w:rsidR="00CF676E" w:rsidRPr="006D79F7">
        <w:rPr>
          <w:rFonts w:ascii="Arial" w:hAnsi="Arial" w:cs="Arial"/>
          <w:sz w:val="24"/>
          <w:szCs w:val="24"/>
        </w:rPr>
        <w:t>d</w:t>
      </w:r>
      <w:r w:rsidR="0081593E" w:rsidRPr="006D79F7">
        <w:rPr>
          <w:rFonts w:ascii="Arial" w:hAnsi="Arial" w:cs="Arial"/>
          <w:sz w:val="24"/>
          <w:szCs w:val="24"/>
        </w:rPr>
        <w:t>o</w:t>
      </w:r>
      <w:r w:rsidR="00CF676E" w:rsidRPr="006D79F7">
        <w:rPr>
          <w:rFonts w:ascii="Arial" w:hAnsi="Arial" w:cs="Arial"/>
          <w:sz w:val="24"/>
          <w:szCs w:val="24"/>
        </w:rPr>
        <w:t xml:space="preserve"> Casco</w:t>
      </w:r>
      <w:r w:rsidR="00CC3529" w:rsidRPr="006D79F7">
        <w:rPr>
          <w:rFonts w:ascii="Arial" w:hAnsi="Arial" w:cs="Arial"/>
          <w:sz w:val="24"/>
          <w:szCs w:val="24"/>
        </w:rPr>
        <w:t>:</w:t>
      </w:r>
    </w:p>
    <w:p w14:paraId="3A711025" w14:textId="77777777" w:rsidR="0016675C" w:rsidRPr="006D79F7" w:rsidRDefault="00A92822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0 – 50.000,00; </w:t>
      </w:r>
    </w:p>
    <w:p w14:paraId="1E85228D" w14:textId="77777777" w:rsidR="0016675C" w:rsidRPr="006D79F7" w:rsidRDefault="00A92822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50.000,01 – 125.000,00; </w:t>
      </w:r>
    </w:p>
    <w:p w14:paraId="748B3D28" w14:textId="77777777" w:rsidR="0016675C" w:rsidRPr="006D79F7" w:rsidRDefault="00A92822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125.000,01 – 200.000,00; </w:t>
      </w:r>
    </w:p>
    <w:p w14:paraId="636B0E0B" w14:textId="45F9DBA0" w:rsidR="00A92822" w:rsidRPr="00C31FD4" w:rsidRDefault="00A92822">
      <w:pPr>
        <w:numPr>
          <w:ilvl w:val="0"/>
          <w:numId w:val="2"/>
        </w:numPr>
        <w:tabs>
          <w:tab w:val="clear" w:pos="720"/>
          <w:tab w:val="num" w:pos="1080"/>
        </w:tabs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200.000,01 – 400.000,00.</w:t>
      </w:r>
    </w:p>
    <w:p w14:paraId="44C306B0" w14:textId="3A7601E1" w:rsidR="005C7D79" w:rsidRPr="005A5BA3" w:rsidRDefault="005C7D79">
      <w:pPr>
        <w:pStyle w:val="Estilo1"/>
        <w:numPr>
          <w:ilvl w:val="2"/>
          <w:numId w:val="13"/>
        </w:numPr>
      </w:pPr>
      <w:bookmarkStart w:id="32" w:name="_Toc159511146"/>
      <w:bookmarkStart w:id="33" w:name="_Toc159927027"/>
      <w:r w:rsidRPr="005C7D79">
        <w:t>Premissa</w:t>
      </w:r>
      <w:r w:rsidR="00853025">
        <w:t>s</w:t>
      </w:r>
      <w:bookmarkEnd w:id="32"/>
      <w:bookmarkEnd w:id="33"/>
    </w:p>
    <w:p w14:paraId="5982F723" w14:textId="51445022" w:rsidR="00145D90" w:rsidRPr="006D79F7" w:rsidRDefault="00145D90" w:rsidP="00145D90">
      <w:pPr>
        <w:spacing w:line="360" w:lineRule="auto"/>
        <w:ind w:left="450" w:firstLine="63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Neste grupo serão consideradas as premissas padronizadas, mencionadas anteriormente, com o acréscimo da seguinte que será apresentada também no </w:t>
      </w:r>
      <w:proofErr w:type="spellStart"/>
      <w:r w:rsidRPr="006D79F7">
        <w:rPr>
          <w:rFonts w:ascii="Arial" w:hAnsi="Arial" w:cs="Arial"/>
          <w:i/>
          <w:iCs/>
          <w:sz w:val="24"/>
          <w:szCs w:val="24"/>
        </w:rPr>
        <w:t>disclaimer</w:t>
      </w:r>
      <w:proofErr w:type="spellEnd"/>
      <w:r w:rsidRPr="006D79F7">
        <w:rPr>
          <w:rFonts w:ascii="Arial" w:hAnsi="Arial" w:cs="Arial"/>
          <w:sz w:val="24"/>
          <w:szCs w:val="24"/>
        </w:rPr>
        <w:t>:</w:t>
      </w:r>
    </w:p>
    <w:p w14:paraId="37117ADA" w14:textId="50F667BC" w:rsidR="00836541" w:rsidRPr="00765FD4" w:rsidRDefault="004B15F7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Essa informação será reportada somente para veículos leves. </w:t>
      </w:r>
      <w:r w:rsidR="00DB61B8" w:rsidRPr="006D79F7">
        <w:rPr>
          <w:rFonts w:ascii="Arial" w:hAnsi="Arial" w:cs="Arial"/>
          <w:sz w:val="24"/>
          <w:szCs w:val="24"/>
        </w:rPr>
        <w:t>Considera-</w:t>
      </w:r>
      <w:r w:rsidR="00DB61B8" w:rsidRPr="00765FD4">
        <w:rPr>
          <w:rFonts w:ascii="Arial" w:hAnsi="Arial" w:cs="Arial"/>
          <w:sz w:val="24"/>
          <w:szCs w:val="24"/>
        </w:rPr>
        <w:t>se veículos leves todos os veículos exceto motos e caminhões.</w:t>
      </w:r>
    </w:p>
    <w:p w14:paraId="75CBE8FF" w14:textId="52BB64E9" w:rsidR="008B2260" w:rsidRPr="00765FD4" w:rsidRDefault="008B2260" w:rsidP="000F6084">
      <w:pPr>
        <w:spacing w:line="360" w:lineRule="auto"/>
        <w:ind w:left="360" w:firstLine="774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Além da premissa mencionada acima citando veículos leves, este ramo considera </w:t>
      </w:r>
      <w:r w:rsidR="00432294" w:rsidRPr="00765FD4">
        <w:rPr>
          <w:rFonts w:ascii="Arial" w:hAnsi="Arial" w:cs="Arial"/>
          <w:sz w:val="24"/>
          <w:szCs w:val="24"/>
        </w:rPr>
        <w:t>também a alteração da</w:t>
      </w:r>
      <w:r w:rsidRPr="00765FD4">
        <w:rPr>
          <w:rFonts w:ascii="Arial" w:hAnsi="Arial" w:cs="Arial"/>
          <w:sz w:val="24"/>
          <w:szCs w:val="24"/>
        </w:rPr>
        <w:t xml:space="preserve"> premissa padronizada citada em “Premissa padrão”</w:t>
      </w:r>
      <w:r w:rsidR="00432294" w:rsidRPr="00765FD4">
        <w:rPr>
          <w:rFonts w:ascii="Arial" w:hAnsi="Arial" w:cs="Arial"/>
          <w:sz w:val="24"/>
          <w:szCs w:val="24"/>
        </w:rPr>
        <w:t xml:space="preserve"> sobre</w:t>
      </w:r>
      <w:r w:rsidRPr="00765FD4">
        <w:rPr>
          <w:rFonts w:ascii="Arial" w:hAnsi="Arial" w:cs="Arial"/>
          <w:sz w:val="24"/>
          <w:szCs w:val="24"/>
        </w:rPr>
        <w:t xml:space="preserve"> </w:t>
      </w:r>
      <w:r w:rsidR="00432294" w:rsidRPr="00765FD4">
        <w:rPr>
          <w:rFonts w:ascii="Arial" w:hAnsi="Arial" w:cs="Arial"/>
          <w:sz w:val="24"/>
          <w:szCs w:val="24"/>
        </w:rPr>
        <w:t xml:space="preserve">a </w:t>
      </w:r>
      <w:r w:rsidRPr="00765FD4">
        <w:rPr>
          <w:rFonts w:ascii="Arial" w:hAnsi="Arial" w:cs="Arial"/>
          <w:sz w:val="24"/>
          <w:szCs w:val="24"/>
        </w:rPr>
        <w:t>periodicidade</w:t>
      </w:r>
      <w:r w:rsidR="00432294" w:rsidRPr="00765FD4">
        <w:rPr>
          <w:rFonts w:ascii="Arial" w:hAnsi="Arial" w:cs="Arial"/>
          <w:sz w:val="24"/>
          <w:szCs w:val="24"/>
        </w:rPr>
        <w:t>,</w:t>
      </w:r>
      <w:r w:rsidRPr="00765FD4">
        <w:rPr>
          <w:rFonts w:ascii="Arial" w:hAnsi="Arial" w:cs="Arial"/>
          <w:sz w:val="24"/>
          <w:szCs w:val="24"/>
        </w:rPr>
        <w:t xml:space="preserve"> que será substituíd</w:t>
      </w:r>
      <w:r w:rsidR="00432294" w:rsidRPr="00765FD4">
        <w:rPr>
          <w:rFonts w:ascii="Arial" w:hAnsi="Arial" w:cs="Arial"/>
          <w:sz w:val="24"/>
          <w:szCs w:val="24"/>
        </w:rPr>
        <w:t>a</w:t>
      </w:r>
      <w:r w:rsidRPr="00765FD4">
        <w:rPr>
          <w:rFonts w:ascii="Arial" w:hAnsi="Arial" w:cs="Arial"/>
          <w:sz w:val="24"/>
          <w:szCs w:val="24"/>
        </w:rPr>
        <w:t xml:space="preserve"> pelo tópico abaixo:</w:t>
      </w:r>
    </w:p>
    <w:p w14:paraId="39D6FA9E" w14:textId="32F0F9BF" w:rsidR="000E7A4A" w:rsidRPr="00765FD4" w:rsidRDefault="008B226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Frequência de atualização do valor do prêmio será de 90 dias.</w:t>
      </w:r>
      <w:r w:rsidR="000F6084" w:rsidRPr="00765FD4">
        <w:rPr>
          <w:rFonts w:ascii="Arial" w:hAnsi="Arial" w:cs="Arial"/>
          <w:sz w:val="24"/>
          <w:szCs w:val="24"/>
        </w:rPr>
        <w:t xml:space="preserve"> </w:t>
      </w:r>
    </w:p>
    <w:p w14:paraId="3C5AD96E" w14:textId="773AC26C" w:rsidR="00657B14" w:rsidRPr="005A5BA3" w:rsidRDefault="00657B14">
      <w:pPr>
        <w:pStyle w:val="Estilo1"/>
        <w:numPr>
          <w:ilvl w:val="2"/>
          <w:numId w:val="13"/>
        </w:numPr>
        <w:rPr>
          <w:i/>
          <w:iCs/>
        </w:rPr>
      </w:pPr>
      <w:bookmarkStart w:id="34" w:name="_Toc159511147"/>
      <w:bookmarkStart w:id="35" w:name="_Toc159927028"/>
      <w:proofErr w:type="spellStart"/>
      <w:r w:rsidRPr="005A5BA3">
        <w:rPr>
          <w:i/>
          <w:iCs/>
        </w:rPr>
        <w:t>Disclaimer</w:t>
      </w:r>
      <w:bookmarkEnd w:id="34"/>
      <w:bookmarkEnd w:id="35"/>
      <w:proofErr w:type="spellEnd"/>
    </w:p>
    <w:p w14:paraId="5F62C799" w14:textId="34B0B420" w:rsidR="00395F05" w:rsidRPr="00765FD4" w:rsidRDefault="00395F05" w:rsidP="00395F05">
      <w:pPr>
        <w:spacing w:line="360" w:lineRule="auto"/>
        <w:ind w:left="360" w:firstLine="774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765FD4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Pr="00765FD4">
        <w:rPr>
          <w:rFonts w:ascii="Arial" w:hAnsi="Arial" w:cs="Arial"/>
          <w:sz w:val="24"/>
          <w:szCs w:val="24"/>
        </w:rPr>
        <w:t xml:space="preserve"> padronizados, mencionados anteriormente, com o acréscimo do seguinte:</w:t>
      </w:r>
    </w:p>
    <w:p w14:paraId="3FC7A18F" w14:textId="34EF176D" w:rsidR="00454E90" w:rsidRPr="00765FD4" w:rsidRDefault="00454E9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Será apresentado como </w:t>
      </w:r>
      <w:proofErr w:type="spellStart"/>
      <w:r w:rsidRPr="006B5040">
        <w:rPr>
          <w:rFonts w:ascii="Arial" w:hAnsi="Arial" w:cs="Arial"/>
          <w:i/>
          <w:iCs/>
          <w:sz w:val="24"/>
          <w:szCs w:val="24"/>
        </w:rPr>
        <w:t>disclaimer</w:t>
      </w:r>
      <w:proofErr w:type="spellEnd"/>
      <w:r w:rsidRPr="00765FD4">
        <w:rPr>
          <w:rFonts w:ascii="Arial" w:hAnsi="Arial" w:cs="Arial"/>
          <w:sz w:val="24"/>
          <w:szCs w:val="24"/>
        </w:rPr>
        <w:t xml:space="preserve"> específico: essa informação considera </w:t>
      </w:r>
      <w:r w:rsidR="00C85B40" w:rsidRPr="00765FD4">
        <w:rPr>
          <w:rFonts w:ascii="Arial" w:hAnsi="Arial" w:cs="Arial"/>
          <w:sz w:val="24"/>
          <w:szCs w:val="24"/>
        </w:rPr>
        <w:t xml:space="preserve">somente </w:t>
      </w:r>
      <w:r w:rsidR="005C49D0" w:rsidRPr="00765FD4">
        <w:rPr>
          <w:rFonts w:ascii="Arial" w:hAnsi="Arial" w:cs="Arial"/>
          <w:sz w:val="24"/>
          <w:szCs w:val="24"/>
        </w:rPr>
        <w:t>para veículos leves</w:t>
      </w:r>
      <w:r w:rsidR="00111937" w:rsidRPr="00765FD4">
        <w:rPr>
          <w:rFonts w:ascii="Arial" w:hAnsi="Arial" w:cs="Arial"/>
          <w:sz w:val="24"/>
          <w:szCs w:val="24"/>
        </w:rPr>
        <w:t>, exceto motos e caminhões.</w:t>
      </w:r>
    </w:p>
    <w:p w14:paraId="2BAD2FA3" w14:textId="1C7532F7" w:rsidR="00657B14" w:rsidRPr="005A5BA3" w:rsidRDefault="00657B14">
      <w:pPr>
        <w:pStyle w:val="Estilo1"/>
        <w:numPr>
          <w:ilvl w:val="2"/>
          <w:numId w:val="13"/>
        </w:numPr>
      </w:pPr>
      <w:bookmarkStart w:id="36" w:name="_Toc159511148"/>
      <w:bookmarkStart w:id="37" w:name="_Toc159927029"/>
      <w:r w:rsidRPr="005A5BA3">
        <w:t>Cobertura</w:t>
      </w:r>
      <w:r w:rsidR="004726FD" w:rsidRPr="005A5BA3">
        <w:t>s</w:t>
      </w:r>
      <w:bookmarkEnd w:id="36"/>
      <w:bookmarkEnd w:id="37"/>
    </w:p>
    <w:p w14:paraId="2279E54F" w14:textId="73E40450" w:rsidR="000F6084" w:rsidRDefault="000F6084" w:rsidP="00BA6CD9">
      <w:pPr>
        <w:spacing w:line="360" w:lineRule="auto"/>
        <w:ind w:left="284" w:firstLine="850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0E7A4A" w:rsidRPr="00765FD4">
        <w:rPr>
          <w:rFonts w:ascii="Arial" w:hAnsi="Arial" w:cs="Arial"/>
          <w:sz w:val="24"/>
          <w:szCs w:val="24"/>
        </w:rPr>
        <w:t xml:space="preserve"> valor do prêmio </w:t>
      </w:r>
      <w:r w:rsidR="00535FAF" w:rsidRPr="00765FD4">
        <w:rPr>
          <w:rFonts w:ascii="Arial" w:hAnsi="Arial" w:cs="Arial"/>
          <w:sz w:val="24"/>
          <w:szCs w:val="24"/>
        </w:rPr>
        <w:t xml:space="preserve">terá como base a seleção de apólices emitidas </w:t>
      </w:r>
      <w:r w:rsidR="00812130" w:rsidRPr="00765FD4">
        <w:rPr>
          <w:rFonts w:ascii="Arial" w:hAnsi="Arial" w:cs="Arial"/>
          <w:sz w:val="24"/>
          <w:szCs w:val="24"/>
        </w:rPr>
        <w:t xml:space="preserve">que contenham </w:t>
      </w:r>
      <w:r w:rsidR="00D52E67" w:rsidRPr="00765FD4">
        <w:rPr>
          <w:rFonts w:ascii="Arial" w:hAnsi="Arial" w:cs="Arial"/>
          <w:sz w:val="24"/>
          <w:szCs w:val="24"/>
        </w:rPr>
        <w:t>no mínimo</w:t>
      </w:r>
      <w:r w:rsidR="00B14D28" w:rsidRPr="00765FD4">
        <w:rPr>
          <w:rFonts w:ascii="Arial" w:hAnsi="Arial" w:cs="Arial"/>
          <w:sz w:val="24"/>
          <w:szCs w:val="24"/>
        </w:rPr>
        <w:t xml:space="preserve"> </w:t>
      </w:r>
      <w:r w:rsidR="00812130" w:rsidRPr="00765FD4">
        <w:rPr>
          <w:rFonts w:ascii="Arial" w:hAnsi="Arial" w:cs="Arial"/>
          <w:sz w:val="24"/>
          <w:szCs w:val="24"/>
        </w:rPr>
        <w:t>a</w:t>
      </w:r>
      <w:r w:rsidR="008427E3" w:rsidRPr="00765FD4">
        <w:rPr>
          <w:rFonts w:ascii="Arial" w:hAnsi="Arial" w:cs="Arial"/>
          <w:sz w:val="24"/>
          <w:szCs w:val="24"/>
        </w:rPr>
        <w:t>s</w:t>
      </w:r>
      <w:r w:rsidR="00535FAF" w:rsidRPr="00765FD4">
        <w:rPr>
          <w:rFonts w:ascii="Arial" w:hAnsi="Arial" w:cs="Arial"/>
          <w:sz w:val="24"/>
          <w:szCs w:val="24"/>
        </w:rPr>
        <w:t xml:space="preserve"> cobertura</w:t>
      </w:r>
      <w:r w:rsidR="0014606C" w:rsidRPr="00765FD4">
        <w:rPr>
          <w:rFonts w:ascii="Arial" w:hAnsi="Arial" w:cs="Arial"/>
          <w:sz w:val="24"/>
          <w:szCs w:val="24"/>
        </w:rPr>
        <w:t>s</w:t>
      </w:r>
      <w:r w:rsidR="00535FAF" w:rsidRPr="00765FD4">
        <w:rPr>
          <w:rFonts w:ascii="Arial" w:hAnsi="Arial" w:cs="Arial"/>
          <w:sz w:val="24"/>
          <w:szCs w:val="24"/>
        </w:rPr>
        <w:t xml:space="preserve"> de </w:t>
      </w:r>
      <w:r w:rsidR="000E7A4A" w:rsidRPr="00765FD4">
        <w:rPr>
          <w:rFonts w:ascii="Arial" w:hAnsi="Arial" w:cs="Arial"/>
          <w:sz w:val="24"/>
          <w:szCs w:val="24"/>
        </w:rPr>
        <w:t>"</w:t>
      </w:r>
      <w:r w:rsidR="009A5AA0" w:rsidRPr="00765FD4">
        <w:rPr>
          <w:rFonts w:ascii="Arial" w:hAnsi="Arial" w:cs="Arial"/>
          <w:sz w:val="24"/>
          <w:szCs w:val="24"/>
        </w:rPr>
        <w:t>c</w:t>
      </w:r>
      <w:r w:rsidR="00850DCA" w:rsidRPr="00765FD4">
        <w:rPr>
          <w:rFonts w:ascii="Arial" w:hAnsi="Arial" w:cs="Arial"/>
          <w:sz w:val="24"/>
          <w:szCs w:val="24"/>
        </w:rPr>
        <w:t xml:space="preserve">asco - </w:t>
      </w:r>
      <w:r w:rsidR="009A5AA0" w:rsidRPr="00765FD4">
        <w:rPr>
          <w:rFonts w:ascii="Arial" w:hAnsi="Arial" w:cs="Arial"/>
          <w:sz w:val="24"/>
          <w:szCs w:val="24"/>
        </w:rPr>
        <w:t>c</w:t>
      </w:r>
      <w:r w:rsidR="00850DCA" w:rsidRPr="00765FD4">
        <w:rPr>
          <w:rFonts w:ascii="Arial" w:hAnsi="Arial" w:cs="Arial"/>
          <w:sz w:val="24"/>
          <w:szCs w:val="24"/>
        </w:rPr>
        <w:t>ompreensiva (</w:t>
      </w:r>
      <w:r w:rsidR="009A5AA0" w:rsidRPr="00765FD4">
        <w:rPr>
          <w:rFonts w:ascii="Arial" w:hAnsi="Arial" w:cs="Arial"/>
          <w:sz w:val="24"/>
          <w:szCs w:val="24"/>
        </w:rPr>
        <w:t>c</w:t>
      </w:r>
      <w:r w:rsidR="00850DCA" w:rsidRPr="00765FD4">
        <w:rPr>
          <w:rFonts w:ascii="Arial" w:hAnsi="Arial" w:cs="Arial"/>
          <w:sz w:val="24"/>
          <w:szCs w:val="24"/>
        </w:rPr>
        <w:t xml:space="preserve">olisão, </w:t>
      </w:r>
      <w:r w:rsidR="009A5AA0" w:rsidRPr="00765FD4">
        <w:rPr>
          <w:rFonts w:ascii="Arial" w:hAnsi="Arial" w:cs="Arial"/>
          <w:sz w:val="24"/>
          <w:szCs w:val="24"/>
        </w:rPr>
        <w:t>i</w:t>
      </w:r>
      <w:r w:rsidR="00850DCA" w:rsidRPr="00765FD4">
        <w:rPr>
          <w:rFonts w:ascii="Arial" w:hAnsi="Arial" w:cs="Arial"/>
          <w:sz w:val="24"/>
          <w:szCs w:val="24"/>
        </w:rPr>
        <w:t xml:space="preserve">ncêndio, </w:t>
      </w:r>
      <w:r w:rsidR="009A5AA0" w:rsidRPr="00765FD4">
        <w:rPr>
          <w:rFonts w:ascii="Arial" w:hAnsi="Arial" w:cs="Arial"/>
          <w:sz w:val="24"/>
          <w:szCs w:val="24"/>
        </w:rPr>
        <w:t>r</w:t>
      </w:r>
      <w:r w:rsidR="00850DCA" w:rsidRPr="00765FD4">
        <w:rPr>
          <w:rFonts w:ascii="Arial" w:hAnsi="Arial" w:cs="Arial"/>
          <w:sz w:val="24"/>
          <w:szCs w:val="24"/>
        </w:rPr>
        <w:t xml:space="preserve">oubo e </w:t>
      </w:r>
      <w:r w:rsidR="005F6454" w:rsidRPr="00765FD4">
        <w:rPr>
          <w:rFonts w:ascii="Arial" w:hAnsi="Arial" w:cs="Arial"/>
          <w:sz w:val="24"/>
          <w:szCs w:val="24"/>
        </w:rPr>
        <w:t>f</w:t>
      </w:r>
      <w:r w:rsidR="00850DCA" w:rsidRPr="00765FD4">
        <w:rPr>
          <w:rFonts w:ascii="Arial" w:hAnsi="Arial" w:cs="Arial"/>
          <w:sz w:val="24"/>
          <w:szCs w:val="24"/>
        </w:rPr>
        <w:t>urto)</w:t>
      </w:r>
      <w:r w:rsidR="000E7A4A" w:rsidRPr="00765FD4">
        <w:rPr>
          <w:rFonts w:ascii="Arial" w:hAnsi="Arial" w:cs="Arial"/>
          <w:sz w:val="24"/>
          <w:szCs w:val="24"/>
        </w:rPr>
        <w:t>"</w:t>
      </w:r>
      <w:r w:rsidR="00850DCA" w:rsidRPr="00765FD4">
        <w:rPr>
          <w:rFonts w:ascii="Arial" w:hAnsi="Arial" w:cs="Arial"/>
          <w:sz w:val="24"/>
          <w:szCs w:val="24"/>
        </w:rPr>
        <w:t xml:space="preserve"> e “</w:t>
      </w:r>
      <w:r w:rsidR="005F6454" w:rsidRPr="00765FD4">
        <w:rPr>
          <w:rFonts w:ascii="Arial" w:hAnsi="Arial" w:cs="Arial"/>
          <w:sz w:val="24"/>
          <w:szCs w:val="24"/>
        </w:rPr>
        <w:t>r</w:t>
      </w:r>
      <w:r w:rsidR="002C7C53" w:rsidRPr="00765FD4">
        <w:rPr>
          <w:rFonts w:ascii="Arial" w:hAnsi="Arial" w:cs="Arial"/>
          <w:sz w:val="24"/>
          <w:szCs w:val="24"/>
        </w:rPr>
        <w:t xml:space="preserve">esponsabilidade </w:t>
      </w:r>
      <w:r w:rsidR="005F6454" w:rsidRPr="00765FD4">
        <w:rPr>
          <w:rFonts w:ascii="Arial" w:hAnsi="Arial" w:cs="Arial"/>
          <w:sz w:val="24"/>
          <w:szCs w:val="24"/>
        </w:rPr>
        <w:t>c</w:t>
      </w:r>
      <w:r w:rsidR="002C7C53" w:rsidRPr="00765FD4">
        <w:rPr>
          <w:rFonts w:ascii="Arial" w:hAnsi="Arial" w:cs="Arial"/>
          <w:sz w:val="24"/>
          <w:szCs w:val="24"/>
        </w:rPr>
        <w:t xml:space="preserve">ivil </w:t>
      </w:r>
      <w:r w:rsidR="005F6454" w:rsidRPr="00765FD4">
        <w:rPr>
          <w:rFonts w:ascii="Arial" w:hAnsi="Arial" w:cs="Arial"/>
          <w:sz w:val="24"/>
          <w:szCs w:val="24"/>
        </w:rPr>
        <w:t>f</w:t>
      </w:r>
      <w:r w:rsidR="002C7C53" w:rsidRPr="00765FD4">
        <w:rPr>
          <w:rFonts w:ascii="Arial" w:hAnsi="Arial" w:cs="Arial"/>
          <w:sz w:val="24"/>
          <w:szCs w:val="24"/>
        </w:rPr>
        <w:t xml:space="preserve">acultativa de </w:t>
      </w:r>
      <w:r w:rsidR="005F6454" w:rsidRPr="00765FD4">
        <w:rPr>
          <w:rFonts w:ascii="Arial" w:hAnsi="Arial" w:cs="Arial"/>
          <w:sz w:val="24"/>
          <w:szCs w:val="24"/>
        </w:rPr>
        <w:lastRenderedPageBreak/>
        <w:t>v</w:t>
      </w:r>
      <w:r w:rsidR="002C7C53" w:rsidRPr="00765FD4">
        <w:rPr>
          <w:rFonts w:ascii="Arial" w:hAnsi="Arial" w:cs="Arial"/>
          <w:sz w:val="24"/>
          <w:szCs w:val="24"/>
        </w:rPr>
        <w:t>eículos (RCFV)”</w:t>
      </w:r>
      <w:r w:rsidR="002909E9" w:rsidRPr="00765FD4">
        <w:rPr>
          <w:rFonts w:ascii="Arial" w:hAnsi="Arial" w:cs="Arial"/>
          <w:sz w:val="24"/>
          <w:szCs w:val="24"/>
        </w:rPr>
        <w:t xml:space="preserve">. </w:t>
      </w:r>
      <w:r w:rsidR="000E7A4A" w:rsidRPr="00765FD4">
        <w:rPr>
          <w:rFonts w:ascii="Arial" w:hAnsi="Arial" w:cs="Arial"/>
          <w:sz w:val="24"/>
          <w:szCs w:val="24"/>
        </w:rPr>
        <w:t>O mercado visa mostrar os valores totais de modo a refletir os prêmios realmente pagos pelos consumidores de seguros na prática.</w:t>
      </w:r>
    </w:p>
    <w:p w14:paraId="356F629C" w14:textId="77777777" w:rsidR="005077D9" w:rsidRDefault="005077D9" w:rsidP="00BA6CD9">
      <w:pPr>
        <w:spacing w:line="360" w:lineRule="auto"/>
        <w:ind w:left="284" w:firstLine="850"/>
        <w:jc w:val="both"/>
        <w:rPr>
          <w:rFonts w:ascii="Arial" w:hAnsi="Arial" w:cs="Arial"/>
          <w:sz w:val="24"/>
          <w:szCs w:val="24"/>
        </w:rPr>
      </w:pPr>
    </w:p>
    <w:p w14:paraId="5170D615" w14:textId="77777777" w:rsidR="005077D9" w:rsidRDefault="005077D9" w:rsidP="00BA6CD9">
      <w:pPr>
        <w:spacing w:line="360" w:lineRule="auto"/>
        <w:ind w:left="284" w:firstLine="850"/>
        <w:jc w:val="both"/>
        <w:rPr>
          <w:rFonts w:ascii="Arial" w:hAnsi="Arial" w:cs="Arial"/>
          <w:sz w:val="24"/>
          <w:szCs w:val="24"/>
        </w:rPr>
      </w:pPr>
    </w:p>
    <w:p w14:paraId="5C330CAB" w14:textId="3B1E8BD7" w:rsidR="008F5ED6" w:rsidRPr="00BA6CD9" w:rsidRDefault="00A568D3">
      <w:pPr>
        <w:pStyle w:val="Estilo1"/>
        <w:numPr>
          <w:ilvl w:val="1"/>
          <w:numId w:val="13"/>
        </w:numPr>
      </w:pPr>
      <w:bookmarkStart w:id="38" w:name="_Toc159511150"/>
      <w:bookmarkStart w:id="39" w:name="_Toc159927030"/>
      <w:r w:rsidRPr="006D79F7">
        <w:t>Seguro Residencial</w:t>
      </w:r>
      <w:bookmarkEnd w:id="38"/>
      <w:bookmarkEnd w:id="39"/>
      <w:r w:rsidR="00ED35D6" w:rsidRPr="006D79F7">
        <w:t xml:space="preserve"> </w:t>
      </w:r>
    </w:p>
    <w:p w14:paraId="17858351" w14:textId="28D81676" w:rsidR="00A92822" w:rsidRPr="004E2752" w:rsidRDefault="00E13630" w:rsidP="004E2752">
      <w:pPr>
        <w:pStyle w:val="Estilo1"/>
        <w:numPr>
          <w:ilvl w:val="2"/>
          <w:numId w:val="13"/>
        </w:numPr>
      </w:pPr>
      <w:bookmarkStart w:id="40" w:name="_Toc159511151"/>
      <w:bookmarkStart w:id="41" w:name="_Toc159927031"/>
      <w:r w:rsidRPr="008F5ED6">
        <w:t>Metodologia</w:t>
      </w:r>
      <w:bookmarkEnd w:id="40"/>
      <w:bookmarkEnd w:id="41"/>
    </w:p>
    <w:p w14:paraId="4B189FEB" w14:textId="3DF75824" w:rsidR="00BB43A3" w:rsidRPr="006D79F7" w:rsidRDefault="00BB43A3" w:rsidP="008F5ED6">
      <w:pPr>
        <w:spacing w:line="36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A proposta é que o </w:t>
      </w:r>
      <w:r w:rsidR="00493D68" w:rsidRPr="006D79F7">
        <w:rPr>
          <w:rFonts w:ascii="Arial" w:hAnsi="Arial" w:cs="Arial"/>
          <w:sz w:val="24"/>
          <w:szCs w:val="24"/>
        </w:rPr>
        <w:t>produto</w:t>
      </w:r>
      <w:r w:rsidRPr="006D79F7">
        <w:rPr>
          <w:rFonts w:ascii="Arial" w:hAnsi="Arial" w:cs="Arial"/>
          <w:sz w:val="24"/>
          <w:szCs w:val="24"/>
        </w:rPr>
        <w:t xml:space="preserve"> </w:t>
      </w:r>
      <w:r w:rsidR="00AA3E1A" w:rsidRPr="006D79F7">
        <w:rPr>
          <w:rFonts w:ascii="Arial" w:hAnsi="Arial" w:cs="Arial"/>
          <w:sz w:val="24"/>
          <w:szCs w:val="24"/>
        </w:rPr>
        <w:t>Residencial</w:t>
      </w:r>
      <w:r w:rsidRPr="006D79F7">
        <w:rPr>
          <w:rFonts w:ascii="Arial" w:hAnsi="Arial" w:cs="Arial"/>
          <w:sz w:val="24"/>
          <w:szCs w:val="24"/>
        </w:rPr>
        <w:t xml:space="preserve"> siga a metodologia padrão apresentada, levando em consideração as seguintes faixas de LMI, que tiveram como referência a cobertura básica:</w:t>
      </w:r>
    </w:p>
    <w:p w14:paraId="0ABBCD52" w14:textId="2BBF24A6" w:rsidR="00BB43A3" w:rsidRPr="006D79F7" w:rsidRDefault="00BB43A3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0 – </w:t>
      </w:r>
      <w:r w:rsidR="003E0DF4" w:rsidRPr="006D79F7">
        <w:rPr>
          <w:rFonts w:ascii="Arial" w:hAnsi="Arial" w:cs="Arial"/>
          <w:sz w:val="24"/>
          <w:szCs w:val="24"/>
        </w:rPr>
        <w:t>20</w:t>
      </w:r>
      <w:r w:rsidRPr="006D79F7">
        <w:rPr>
          <w:rFonts w:ascii="Arial" w:hAnsi="Arial" w:cs="Arial"/>
          <w:sz w:val="24"/>
          <w:szCs w:val="24"/>
        </w:rPr>
        <w:t xml:space="preserve">0.000,00; </w:t>
      </w:r>
    </w:p>
    <w:p w14:paraId="61C0792F" w14:textId="1E127C79" w:rsidR="00BB43A3" w:rsidRPr="006D79F7" w:rsidRDefault="003E0DF4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20</w:t>
      </w:r>
      <w:r w:rsidR="00BB43A3" w:rsidRPr="006D79F7">
        <w:rPr>
          <w:rFonts w:ascii="Arial" w:hAnsi="Arial" w:cs="Arial"/>
          <w:sz w:val="24"/>
          <w:szCs w:val="24"/>
        </w:rPr>
        <w:t xml:space="preserve">0.000,01 – </w:t>
      </w:r>
      <w:r w:rsidRPr="006D79F7">
        <w:rPr>
          <w:rFonts w:ascii="Arial" w:hAnsi="Arial" w:cs="Arial"/>
          <w:sz w:val="24"/>
          <w:szCs w:val="24"/>
        </w:rPr>
        <w:t>400</w:t>
      </w:r>
      <w:r w:rsidR="00BB43A3" w:rsidRPr="006D79F7">
        <w:rPr>
          <w:rFonts w:ascii="Arial" w:hAnsi="Arial" w:cs="Arial"/>
          <w:sz w:val="24"/>
          <w:szCs w:val="24"/>
        </w:rPr>
        <w:t xml:space="preserve">.000,00; </w:t>
      </w:r>
    </w:p>
    <w:p w14:paraId="2FF5FB55" w14:textId="4B03AD56" w:rsidR="00BB43A3" w:rsidRPr="006D79F7" w:rsidRDefault="003E0DF4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400</w:t>
      </w:r>
      <w:r w:rsidR="00BB43A3" w:rsidRPr="006D79F7">
        <w:rPr>
          <w:rFonts w:ascii="Arial" w:hAnsi="Arial" w:cs="Arial"/>
          <w:sz w:val="24"/>
          <w:szCs w:val="24"/>
        </w:rPr>
        <w:t xml:space="preserve">.000,01 – </w:t>
      </w:r>
      <w:r w:rsidRPr="006D79F7">
        <w:rPr>
          <w:rFonts w:ascii="Arial" w:hAnsi="Arial" w:cs="Arial"/>
          <w:sz w:val="24"/>
          <w:szCs w:val="24"/>
        </w:rPr>
        <w:t>6</w:t>
      </w:r>
      <w:r w:rsidR="00BB43A3" w:rsidRPr="006D79F7">
        <w:rPr>
          <w:rFonts w:ascii="Arial" w:hAnsi="Arial" w:cs="Arial"/>
          <w:sz w:val="24"/>
          <w:szCs w:val="24"/>
        </w:rPr>
        <w:t xml:space="preserve">00.000,00; </w:t>
      </w:r>
    </w:p>
    <w:p w14:paraId="7EA33488" w14:textId="380CE5B4" w:rsidR="008F5ED6" w:rsidRPr="00C31FD4" w:rsidRDefault="003E0DF4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6</w:t>
      </w:r>
      <w:r w:rsidR="00BB43A3" w:rsidRPr="006D79F7">
        <w:rPr>
          <w:rFonts w:ascii="Arial" w:hAnsi="Arial" w:cs="Arial"/>
          <w:sz w:val="24"/>
          <w:szCs w:val="24"/>
        </w:rPr>
        <w:t xml:space="preserve">00.000,01 – </w:t>
      </w:r>
      <w:r w:rsidRPr="006D79F7">
        <w:rPr>
          <w:rFonts w:ascii="Arial" w:hAnsi="Arial" w:cs="Arial"/>
          <w:sz w:val="24"/>
          <w:szCs w:val="24"/>
        </w:rPr>
        <w:t>1.0</w:t>
      </w:r>
      <w:r w:rsidR="00BB43A3" w:rsidRPr="006D79F7">
        <w:rPr>
          <w:rFonts w:ascii="Arial" w:hAnsi="Arial" w:cs="Arial"/>
          <w:sz w:val="24"/>
          <w:szCs w:val="24"/>
        </w:rPr>
        <w:t>00.000,00.</w:t>
      </w:r>
    </w:p>
    <w:p w14:paraId="07B8CC5A" w14:textId="1CAC4A04" w:rsidR="0039464A" w:rsidRPr="004E2752" w:rsidRDefault="0039464A" w:rsidP="004E2752">
      <w:pPr>
        <w:pStyle w:val="Estilo1"/>
        <w:numPr>
          <w:ilvl w:val="2"/>
          <w:numId w:val="13"/>
        </w:numPr>
      </w:pPr>
      <w:bookmarkStart w:id="42" w:name="_Toc159511152"/>
      <w:bookmarkStart w:id="43" w:name="_Toc159927032"/>
      <w:r w:rsidRPr="00D73CC9">
        <w:t>Premissa</w:t>
      </w:r>
      <w:r w:rsidR="00853025">
        <w:t>s</w:t>
      </w:r>
      <w:bookmarkEnd w:id="42"/>
      <w:bookmarkEnd w:id="43"/>
    </w:p>
    <w:p w14:paraId="2B0B079B" w14:textId="77777777" w:rsidR="00BB43A3" w:rsidRPr="006D79F7" w:rsidRDefault="00BB43A3" w:rsidP="008F5ED6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Neste grupo serão consideradas as premissas padronizadas, mencionadas anteriormente, com o acréscimo da seguinte:</w:t>
      </w:r>
    </w:p>
    <w:p w14:paraId="5C45A55C" w14:textId="2F99AC80" w:rsidR="00C83099" w:rsidRDefault="00776A63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Será considerada toda a carteira, tanto Pessoa Física quanto Pessoa Jurídica.</w:t>
      </w:r>
    </w:p>
    <w:p w14:paraId="0E7C451E" w14:textId="7D090785" w:rsidR="004D5BB5" w:rsidRPr="004F4442" w:rsidRDefault="004D5BB5" w:rsidP="004F4442">
      <w:pPr>
        <w:pStyle w:val="Estilo1"/>
        <w:numPr>
          <w:ilvl w:val="2"/>
          <w:numId w:val="13"/>
        </w:numPr>
        <w:rPr>
          <w:i/>
        </w:rPr>
      </w:pPr>
      <w:bookmarkStart w:id="44" w:name="_Toc159511153"/>
      <w:bookmarkStart w:id="45" w:name="_Toc159927033"/>
      <w:proofErr w:type="spellStart"/>
      <w:r w:rsidRPr="004F4442">
        <w:rPr>
          <w:i/>
        </w:rPr>
        <w:t>Disclaimer</w:t>
      </w:r>
      <w:bookmarkEnd w:id="44"/>
      <w:bookmarkEnd w:id="45"/>
      <w:proofErr w:type="spellEnd"/>
    </w:p>
    <w:p w14:paraId="6585E0DE" w14:textId="510795E8" w:rsidR="004D5BB5" w:rsidRPr="006D6930" w:rsidRDefault="004D5BB5" w:rsidP="00F17372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271630">
        <w:rPr>
          <w:rFonts w:ascii="Arial" w:hAnsi="Arial" w:cs="Arial"/>
          <w:i/>
          <w:sz w:val="24"/>
          <w:szCs w:val="24"/>
        </w:rPr>
        <w:t>disclaimers</w:t>
      </w:r>
      <w:proofErr w:type="spellEnd"/>
      <w:r w:rsidRPr="00271630">
        <w:rPr>
          <w:rFonts w:ascii="Arial" w:hAnsi="Arial" w:cs="Arial"/>
          <w:sz w:val="24"/>
          <w:szCs w:val="24"/>
        </w:rPr>
        <w:t xml:space="preserve"> padronizados, mencionados anteriormente.</w:t>
      </w:r>
    </w:p>
    <w:p w14:paraId="2396AB03" w14:textId="244A5DCC" w:rsidR="003E29B2" w:rsidRPr="00AA441B" w:rsidRDefault="003E29B2" w:rsidP="004F4442">
      <w:pPr>
        <w:pStyle w:val="Estilo1"/>
        <w:numPr>
          <w:ilvl w:val="2"/>
          <w:numId w:val="13"/>
        </w:numPr>
        <w:rPr>
          <w:b w:val="0"/>
        </w:rPr>
      </w:pPr>
      <w:bookmarkStart w:id="46" w:name="_Toc159511154"/>
      <w:bookmarkStart w:id="47" w:name="_Toc159927034"/>
      <w:r w:rsidRPr="00AA441B">
        <w:t>Cobertura</w:t>
      </w:r>
      <w:r w:rsidR="004726FD">
        <w:t>s</w:t>
      </w:r>
      <w:bookmarkEnd w:id="46"/>
      <w:bookmarkEnd w:id="47"/>
    </w:p>
    <w:p w14:paraId="684A3C32" w14:textId="38149B1C" w:rsidR="00715769" w:rsidRDefault="000F6084" w:rsidP="008F5ED6">
      <w:pPr>
        <w:spacing w:line="360" w:lineRule="auto"/>
        <w:ind w:left="426" w:firstLine="708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BB0E69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</w:t>
      </w:r>
      <w:r w:rsidR="001D027D" w:rsidRPr="00765FD4">
        <w:rPr>
          <w:rFonts w:ascii="Arial" w:hAnsi="Arial" w:cs="Arial"/>
          <w:sz w:val="24"/>
          <w:szCs w:val="24"/>
        </w:rPr>
        <w:t xml:space="preserve">que contenham </w:t>
      </w:r>
      <w:r w:rsidR="00147BBE" w:rsidRPr="00765FD4">
        <w:rPr>
          <w:rFonts w:ascii="Arial" w:hAnsi="Arial" w:cs="Arial"/>
          <w:sz w:val="24"/>
          <w:szCs w:val="24"/>
        </w:rPr>
        <w:t xml:space="preserve">no mínimo </w:t>
      </w:r>
      <w:r w:rsidR="00F31C29" w:rsidRPr="00765FD4">
        <w:rPr>
          <w:rFonts w:ascii="Arial" w:hAnsi="Arial" w:cs="Arial"/>
          <w:sz w:val="24"/>
          <w:szCs w:val="24"/>
        </w:rPr>
        <w:t>a</w:t>
      </w:r>
      <w:r w:rsidR="00BB0E69" w:rsidRPr="00765FD4">
        <w:rPr>
          <w:rFonts w:ascii="Arial" w:hAnsi="Arial" w:cs="Arial"/>
          <w:sz w:val="24"/>
          <w:szCs w:val="24"/>
        </w:rPr>
        <w:t xml:space="preserve"> cobertura de "</w:t>
      </w:r>
      <w:r w:rsidR="00337DDB" w:rsidRPr="00765FD4">
        <w:rPr>
          <w:rFonts w:ascii="Arial" w:hAnsi="Arial" w:cs="Arial"/>
          <w:sz w:val="24"/>
          <w:szCs w:val="24"/>
        </w:rPr>
        <w:t>i</w:t>
      </w:r>
      <w:r w:rsidR="00B321B7" w:rsidRPr="00765FD4">
        <w:rPr>
          <w:rFonts w:ascii="Arial" w:hAnsi="Arial" w:cs="Arial"/>
          <w:sz w:val="24"/>
          <w:szCs w:val="24"/>
        </w:rPr>
        <w:t xml:space="preserve">móvel </w:t>
      </w:r>
      <w:r w:rsidR="00337DDB" w:rsidRPr="00765FD4">
        <w:rPr>
          <w:rFonts w:ascii="Arial" w:hAnsi="Arial" w:cs="Arial"/>
          <w:sz w:val="24"/>
          <w:szCs w:val="24"/>
        </w:rPr>
        <w:t>b</w:t>
      </w:r>
      <w:r w:rsidR="00B321B7" w:rsidRPr="00765FD4">
        <w:rPr>
          <w:rFonts w:ascii="Arial" w:hAnsi="Arial" w:cs="Arial"/>
          <w:sz w:val="24"/>
          <w:szCs w:val="24"/>
        </w:rPr>
        <w:t>ásica (</w:t>
      </w:r>
      <w:r w:rsidR="00337DDB" w:rsidRPr="00765FD4">
        <w:rPr>
          <w:rFonts w:ascii="Arial" w:hAnsi="Arial" w:cs="Arial"/>
          <w:sz w:val="24"/>
          <w:szCs w:val="24"/>
        </w:rPr>
        <w:t>i</w:t>
      </w:r>
      <w:r w:rsidR="00B321B7" w:rsidRPr="00765FD4">
        <w:rPr>
          <w:rFonts w:ascii="Arial" w:hAnsi="Arial" w:cs="Arial"/>
          <w:sz w:val="24"/>
          <w:szCs w:val="24"/>
        </w:rPr>
        <w:t xml:space="preserve">ncêndio, </w:t>
      </w:r>
      <w:r w:rsidR="005204DB" w:rsidRPr="00765FD4">
        <w:rPr>
          <w:rFonts w:ascii="Arial" w:hAnsi="Arial" w:cs="Arial"/>
          <w:sz w:val="24"/>
          <w:szCs w:val="24"/>
        </w:rPr>
        <w:t>q</w:t>
      </w:r>
      <w:r w:rsidR="00B321B7" w:rsidRPr="00765FD4">
        <w:rPr>
          <w:rFonts w:ascii="Arial" w:hAnsi="Arial" w:cs="Arial"/>
          <w:sz w:val="24"/>
          <w:szCs w:val="24"/>
        </w:rPr>
        <w:t xml:space="preserve">ueda de </w:t>
      </w:r>
      <w:r w:rsidR="005204DB" w:rsidRPr="00765FD4">
        <w:rPr>
          <w:rFonts w:ascii="Arial" w:hAnsi="Arial" w:cs="Arial"/>
          <w:sz w:val="24"/>
          <w:szCs w:val="24"/>
        </w:rPr>
        <w:t>r</w:t>
      </w:r>
      <w:r w:rsidR="00B321B7" w:rsidRPr="00765FD4">
        <w:rPr>
          <w:rFonts w:ascii="Arial" w:hAnsi="Arial" w:cs="Arial"/>
          <w:sz w:val="24"/>
          <w:szCs w:val="24"/>
        </w:rPr>
        <w:t xml:space="preserve">aio e </w:t>
      </w:r>
      <w:r w:rsidR="005204DB" w:rsidRPr="00765FD4">
        <w:rPr>
          <w:rFonts w:ascii="Arial" w:hAnsi="Arial" w:cs="Arial"/>
          <w:sz w:val="24"/>
          <w:szCs w:val="24"/>
        </w:rPr>
        <w:t>e</w:t>
      </w:r>
      <w:r w:rsidR="00B321B7" w:rsidRPr="00765FD4">
        <w:rPr>
          <w:rFonts w:ascii="Arial" w:hAnsi="Arial" w:cs="Arial"/>
          <w:sz w:val="24"/>
          <w:szCs w:val="24"/>
        </w:rPr>
        <w:t>xplosão)</w:t>
      </w:r>
      <w:r w:rsidR="00BB0E69" w:rsidRPr="00765FD4">
        <w:rPr>
          <w:rFonts w:ascii="Arial" w:hAnsi="Arial" w:cs="Arial"/>
          <w:sz w:val="24"/>
          <w:szCs w:val="24"/>
        </w:rPr>
        <w:t>”. O mercado visa mostrar os valores totais de modo a refletir os prêmios realmente pagos pelos consumidores de seguros na prática.</w:t>
      </w:r>
    </w:p>
    <w:p w14:paraId="68EC14F6" w14:textId="77777777" w:rsidR="000F6084" w:rsidRPr="000F6084" w:rsidRDefault="000F6084" w:rsidP="000F60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0F0B33" w14:textId="77777777" w:rsidR="00271630" w:rsidRPr="00271630" w:rsidRDefault="00271630" w:rsidP="000F60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64ADA6" w14:textId="52915CCE" w:rsidR="00CE7668" w:rsidRDefault="00A568D3" w:rsidP="004F4442">
      <w:pPr>
        <w:pStyle w:val="Estilo1"/>
        <w:numPr>
          <w:ilvl w:val="1"/>
          <w:numId w:val="13"/>
        </w:numPr>
      </w:pPr>
      <w:bookmarkStart w:id="48" w:name="_Toc159511155"/>
      <w:bookmarkStart w:id="49" w:name="_Toc159927035"/>
      <w:r w:rsidRPr="006D79F7">
        <w:lastRenderedPageBreak/>
        <w:t>Seguro Condomínio</w:t>
      </w:r>
      <w:bookmarkEnd w:id="48"/>
      <w:bookmarkEnd w:id="49"/>
      <w:r w:rsidR="00ED35D6" w:rsidRPr="006D79F7">
        <w:t xml:space="preserve"> </w:t>
      </w:r>
    </w:p>
    <w:p w14:paraId="21A3DC08" w14:textId="5B2D2971" w:rsidR="00CE7668" w:rsidRPr="00CE7668" w:rsidRDefault="00CE7668" w:rsidP="004F4442">
      <w:pPr>
        <w:pStyle w:val="Estilo1"/>
        <w:numPr>
          <w:ilvl w:val="2"/>
          <w:numId w:val="13"/>
        </w:numPr>
        <w:rPr>
          <w:b w:val="0"/>
        </w:rPr>
      </w:pPr>
      <w:bookmarkStart w:id="50" w:name="_Toc159511156"/>
      <w:bookmarkStart w:id="51" w:name="_Toc159927036"/>
      <w:r w:rsidRPr="00CE7668">
        <w:t>Metodologia</w:t>
      </w:r>
      <w:bookmarkEnd w:id="50"/>
      <w:bookmarkEnd w:id="51"/>
    </w:p>
    <w:p w14:paraId="68758B94" w14:textId="52CD1B79" w:rsidR="00A81E5C" w:rsidRPr="006D79F7" w:rsidRDefault="00A81E5C" w:rsidP="00CE7668">
      <w:pPr>
        <w:spacing w:line="36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A proposta é que o </w:t>
      </w:r>
      <w:r w:rsidR="00493D68" w:rsidRPr="006D79F7">
        <w:rPr>
          <w:rFonts w:ascii="Arial" w:hAnsi="Arial" w:cs="Arial"/>
          <w:sz w:val="24"/>
          <w:szCs w:val="24"/>
        </w:rPr>
        <w:t>produto</w:t>
      </w:r>
      <w:r w:rsidRPr="006D79F7">
        <w:rPr>
          <w:rFonts w:ascii="Arial" w:hAnsi="Arial" w:cs="Arial"/>
          <w:sz w:val="24"/>
          <w:szCs w:val="24"/>
        </w:rPr>
        <w:t xml:space="preserve"> de </w:t>
      </w:r>
      <w:r w:rsidR="00997901" w:rsidRPr="006D79F7">
        <w:rPr>
          <w:rFonts w:ascii="Arial" w:hAnsi="Arial" w:cs="Arial"/>
          <w:sz w:val="24"/>
          <w:szCs w:val="24"/>
        </w:rPr>
        <w:t>Condomínio</w:t>
      </w:r>
      <w:r w:rsidRPr="006D79F7">
        <w:rPr>
          <w:rFonts w:ascii="Arial" w:hAnsi="Arial" w:cs="Arial"/>
          <w:sz w:val="24"/>
          <w:szCs w:val="24"/>
        </w:rPr>
        <w:t xml:space="preserve"> siga a metodologia padrão apresentada, levando em consideração as seguintes faixas de LMI, que tiveram como referência as coberturas básicas:</w:t>
      </w:r>
    </w:p>
    <w:p w14:paraId="0078AEB2" w14:textId="71A8DEBD" w:rsidR="00A81E5C" w:rsidRPr="006D79F7" w:rsidRDefault="00A81E5C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0 – </w:t>
      </w:r>
      <w:r w:rsidR="00E70567" w:rsidRPr="006D79F7">
        <w:rPr>
          <w:rFonts w:ascii="Arial" w:hAnsi="Arial" w:cs="Arial"/>
          <w:sz w:val="24"/>
          <w:szCs w:val="24"/>
        </w:rPr>
        <w:t>15 milhões</w:t>
      </w:r>
      <w:r w:rsidRPr="006D79F7">
        <w:rPr>
          <w:rFonts w:ascii="Arial" w:hAnsi="Arial" w:cs="Arial"/>
          <w:sz w:val="24"/>
          <w:szCs w:val="24"/>
        </w:rPr>
        <w:t xml:space="preserve">; </w:t>
      </w:r>
    </w:p>
    <w:p w14:paraId="30D294CB" w14:textId="2FBA307B" w:rsidR="00A81E5C" w:rsidRPr="006D79F7" w:rsidRDefault="00E7056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15 milhões e um centavo</w:t>
      </w:r>
      <w:r w:rsidR="00A81E5C" w:rsidRPr="006D79F7">
        <w:rPr>
          <w:rFonts w:ascii="Arial" w:hAnsi="Arial" w:cs="Arial"/>
          <w:sz w:val="24"/>
          <w:szCs w:val="24"/>
        </w:rPr>
        <w:t xml:space="preserve"> –</w:t>
      </w:r>
      <w:r w:rsidRPr="006D79F7">
        <w:rPr>
          <w:rFonts w:ascii="Arial" w:hAnsi="Arial" w:cs="Arial"/>
          <w:sz w:val="24"/>
          <w:szCs w:val="24"/>
        </w:rPr>
        <w:t xml:space="preserve"> 30 milhõe</w:t>
      </w:r>
      <w:r w:rsidR="00D31DEC" w:rsidRPr="006D79F7">
        <w:rPr>
          <w:rFonts w:ascii="Arial" w:hAnsi="Arial" w:cs="Arial"/>
          <w:sz w:val="24"/>
          <w:szCs w:val="24"/>
        </w:rPr>
        <w:t>s</w:t>
      </w:r>
      <w:r w:rsidR="00A81E5C" w:rsidRPr="006D79F7">
        <w:rPr>
          <w:rFonts w:ascii="Arial" w:hAnsi="Arial" w:cs="Arial"/>
          <w:sz w:val="24"/>
          <w:szCs w:val="24"/>
        </w:rPr>
        <w:t xml:space="preserve">; </w:t>
      </w:r>
    </w:p>
    <w:p w14:paraId="19A2F715" w14:textId="101A5240" w:rsidR="00A81E5C" w:rsidRPr="006D79F7" w:rsidRDefault="00D31DEC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30 milhões e um centavo </w:t>
      </w:r>
      <w:r w:rsidR="00A81E5C" w:rsidRPr="006D79F7">
        <w:rPr>
          <w:rFonts w:ascii="Arial" w:hAnsi="Arial" w:cs="Arial"/>
          <w:sz w:val="24"/>
          <w:szCs w:val="24"/>
        </w:rPr>
        <w:t xml:space="preserve">– </w:t>
      </w:r>
      <w:r w:rsidRPr="006D79F7">
        <w:rPr>
          <w:rFonts w:ascii="Arial" w:hAnsi="Arial" w:cs="Arial"/>
          <w:sz w:val="24"/>
          <w:szCs w:val="24"/>
        </w:rPr>
        <w:t>45 milhões</w:t>
      </w:r>
      <w:r w:rsidR="00A81E5C" w:rsidRPr="006D79F7">
        <w:rPr>
          <w:rFonts w:ascii="Arial" w:hAnsi="Arial" w:cs="Arial"/>
          <w:sz w:val="24"/>
          <w:szCs w:val="24"/>
        </w:rPr>
        <w:t xml:space="preserve">; </w:t>
      </w:r>
    </w:p>
    <w:p w14:paraId="059DE2CE" w14:textId="69612EB0" w:rsidR="00A81E5C" w:rsidRDefault="00D31DEC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45 milhões e um centavo</w:t>
      </w:r>
      <w:r w:rsidR="00A81E5C" w:rsidRPr="006D79F7">
        <w:rPr>
          <w:rFonts w:ascii="Arial" w:hAnsi="Arial" w:cs="Arial"/>
          <w:sz w:val="24"/>
          <w:szCs w:val="24"/>
        </w:rPr>
        <w:t xml:space="preserve"> –</w:t>
      </w:r>
      <w:r w:rsidRPr="006D79F7">
        <w:rPr>
          <w:rFonts w:ascii="Arial" w:hAnsi="Arial" w:cs="Arial"/>
          <w:sz w:val="24"/>
          <w:szCs w:val="24"/>
        </w:rPr>
        <w:t xml:space="preserve"> 60 milhões</w:t>
      </w:r>
      <w:r w:rsidR="00A81E5C" w:rsidRPr="006D79F7">
        <w:rPr>
          <w:rFonts w:ascii="Arial" w:hAnsi="Arial" w:cs="Arial"/>
          <w:sz w:val="24"/>
          <w:szCs w:val="24"/>
        </w:rPr>
        <w:t>.</w:t>
      </w:r>
    </w:p>
    <w:p w14:paraId="1B17A077" w14:textId="45938CE0" w:rsidR="001F3EAA" w:rsidRPr="001F3EAA" w:rsidRDefault="001F3EAA" w:rsidP="00830967">
      <w:pPr>
        <w:pStyle w:val="Estilo1"/>
        <w:numPr>
          <w:ilvl w:val="2"/>
          <w:numId w:val="13"/>
        </w:numPr>
        <w:rPr>
          <w:b w:val="0"/>
        </w:rPr>
      </w:pPr>
      <w:bookmarkStart w:id="52" w:name="_Toc159511157"/>
      <w:bookmarkStart w:id="53" w:name="_Toc159927037"/>
      <w:r w:rsidRPr="001F3EAA">
        <w:t>Premissa</w:t>
      </w:r>
      <w:r w:rsidR="00E2502E">
        <w:t>s</w:t>
      </w:r>
      <w:bookmarkEnd w:id="52"/>
      <w:bookmarkEnd w:id="53"/>
    </w:p>
    <w:p w14:paraId="2191519E" w14:textId="28F3D018" w:rsidR="001F3EAA" w:rsidRDefault="00A81E5C" w:rsidP="001F3EAA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Neste grupo serão consideradas as premissas padronizadas, mencionadas anteriormente</w:t>
      </w:r>
      <w:r w:rsidR="00D31DEC" w:rsidRPr="006D79F7">
        <w:rPr>
          <w:rFonts w:ascii="Arial" w:hAnsi="Arial" w:cs="Arial"/>
          <w:sz w:val="24"/>
          <w:szCs w:val="24"/>
        </w:rPr>
        <w:t>.</w:t>
      </w:r>
    </w:p>
    <w:p w14:paraId="294CB962" w14:textId="76070999" w:rsidR="00E03D88" w:rsidRPr="00830967" w:rsidRDefault="00E03D88" w:rsidP="00830967">
      <w:pPr>
        <w:pStyle w:val="Estilo1"/>
        <w:numPr>
          <w:ilvl w:val="2"/>
          <w:numId w:val="13"/>
        </w:numPr>
        <w:rPr>
          <w:i/>
        </w:rPr>
      </w:pPr>
      <w:bookmarkStart w:id="54" w:name="_Toc159511158"/>
      <w:bookmarkStart w:id="55" w:name="_Toc159927038"/>
      <w:proofErr w:type="spellStart"/>
      <w:r w:rsidRPr="00830967">
        <w:rPr>
          <w:i/>
        </w:rPr>
        <w:t>Disclaimer</w:t>
      </w:r>
      <w:bookmarkEnd w:id="54"/>
      <w:bookmarkEnd w:id="55"/>
      <w:proofErr w:type="spellEnd"/>
    </w:p>
    <w:p w14:paraId="64BD965E" w14:textId="7B964CA0" w:rsidR="00191FF4" w:rsidRDefault="00191FF4" w:rsidP="001F1BC8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271630">
        <w:rPr>
          <w:rFonts w:ascii="Arial" w:hAnsi="Arial" w:cs="Arial"/>
          <w:i/>
          <w:sz w:val="24"/>
          <w:szCs w:val="24"/>
        </w:rPr>
        <w:t>disclaimers</w:t>
      </w:r>
      <w:proofErr w:type="spellEnd"/>
      <w:r w:rsidRPr="00271630">
        <w:rPr>
          <w:rFonts w:ascii="Arial" w:hAnsi="Arial" w:cs="Arial"/>
          <w:sz w:val="24"/>
          <w:szCs w:val="24"/>
        </w:rPr>
        <w:t xml:space="preserve"> padronizados, mencionados anteriormente.</w:t>
      </w:r>
    </w:p>
    <w:p w14:paraId="35D816BD" w14:textId="67307B6B" w:rsidR="001F3EAA" w:rsidRPr="001F3EAA" w:rsidRDefault="001F3EAA" w:rsidP="00AF35CC">
      <w:pPr>
        <w:pStyle w:val="Estilo1"/>
        <w:numPr>
          <w:ilvl w:val="2"/>
          <w:numId w:val="13"/>
        </w:numPr>
        <w:rPr>
          <w:b w:val="0"/>
        </w:rPr>
      </w:pPr>
      <w:bookmarkStart w:id="56" w:name="_Toc159511159"/>
      <w:bookmarkStart w:id="57" w:name="_Toc159927039"/>
      <w:r w:rsidRPr="001F3EAA">
        <w:t>Cobertura</w:t>
      </w:r>
      <w:r w:rsidR="004726FD">
        <w:t>s</w:t>
      </w:r>
      <w:bookmarkEnd w:id="56"/>
      <w:bookmarkEnd w:id="57"/>
    </w:p>
    <w:p w14:paraId="3FB93DC5" w14:textId="37137301" w:rsidR="003C6395" w:rsidRPr="006D79F7" w:rsidRDefault="000F6084" w:rsidP="00CE7668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3C6395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</w:t>
      </w:r>
      <w:r w:rsidR="001D027D" w:rsidRPr="00765FD4">
        <w:rPr>
          <w:rFonts w:ascii="Arial" w:hAnsi="Arial" w:cs="Arial"/>
          <w:sz w:val="24"/>
          <w:szCs w:val="24"/>
        </w:rPr>
        <w:t xml:space="preserve">que contenham </w:t>
      </w:r>
      <w:r w:rsidR="00FD49B6" w:rsidRPr="00765FD4">
        <w:rPr>
          <w:rFonts w:ascii="Arial" w:hAnsi="Arial" w:cs="Arial"/>
          <w:sz w:val="24"/>
          <w:szCs w:val="24"/>
        </w:rPr>
        <w:t xml:space="preserve">no mínimo </w:t>
      </w:r>
      <w:r w:rsidR="00A37BF7" w:rsidRPr="00765FD4">
        <w:rPr>
          <w:rFonts w:ascii="Arial" w:hAnsi="Arial" w:cs="Arial"/>
          <w:sz w:val="24"/>
          <w:szCs w:val="24"/>
        </w:rPr>
        <w:t xml:space="preserve">as </w:t>
      </w:r>
      <w:r w:rsidR="003C6395" w:rsidRPr="00765FD4">
        <w:rPr>
          <w:rFonts w:ascii="Arial" w:hAnsi="Arial" w:cs="Arial"/>
          <w:sz w:val="24"/>
          <w:szCs w:val="24"/>
        </w:rPr>
        <w:t>cobertura</w:t>
      </w:r>
      <w:r w:rsidR="00444B5B" w:rsidRPr="00765FD4">
        <w:rPr>
          <w:rFonts w:ascii="Arial" w:hAnsi="Arial" w:cs="Arial"/>
          <w:sz w:val="24"/>
          <w:szCs w:val="24"/>
        </w:rPr>
        <w:t>s</w:t>
      </w:r>
      <w:r w:rsidR="003C6395" w:rsidRPr="00765FD4">
        <w:rPr>
          <w:rFonts w:ascii="Arial" w:hAnsi="Arial" w:cs="Arial"/>
          <w:sz w:val="24"/>
          <w:szCs w:val="24"/>
        </w:rPr>
        <w:t xml:space="preserve"> de "</w:t>
      </w:r>
      <w:r w:rsidR="00AD1624" w:rsidRPr="00765FD4">
        <w:rPr>
          <w:rFonts w:ascii="Arial" w:hAnsi="Arial" w:cs="Arial"/>
          <w:sz w:val="24"/>
          <w:szCs w:val="24"/>
        </w:rPr>
        <w:t>c</w:t>
      </w:r>
      <w:r w:rsidR="008914C3" w:rsidRPr="00765FD4">
        <w:rPr>
          <w:rFonts w:ascii="Arial" w:hAnsi="Arial" w:cs="Arial"/>
          <w:sz w:val="24"/>
          <w:szCs w:val="24"/>
        </w:rPr>
        <w:t>obertura básica simples (coberturas de incêndio, queda de raio dentro do terreno segurado e explosão de qualquer natureza)</w:t>
      </w:r>
      <w:r w:rsidR="00D034B9" w:rsidRPr="00765FD4">
        <w:rPr>
          <w:rFonts w:ascii="Arial" w:hAnsi="Arial" w:cs="Arial"/>
          <w:sz w:val="24"/>
          <w:szCs w:val="24"/>
        </w:rPr>
        <w:t>”</w:t>
      </w:r>
      <w:r w:rsidR="008914C3" w:rsidRPr="00765FD4">
        <w:rPr>
          <w:rFonts w:ascii="Arial" w:hAnsi="Arial" w:cs="Arial"/>
          <w:sz w:val="24"/>
          <w:szCs w:val="24"/>
        </w:rPr>
        <w:t xml:space="preserve"> e</w:t>
      </w:r>
      <w:r w:rsidR="00E82345" w:rsidRPr="00765FD4">
        <w:rPr>
          <w:rFonts w:ascii="Arial" w:hAnsi="Arial" w:cs="Arial"/>
          <w:sz w:val="24"/>
          <w:szCs w:val="24"/>
        </w:rPr>
        <w:t>/ou</w:t>
      </w:r>
      <w:r w:rsidR="008914C3" w:rsidRPr="00765FD4">
        <w:rPr>
          <w:rFonts w:ascii="Arial" w:hAnsi="Arial" w:cs="Arial"/>
          <w:sz w:val="24"/>
          <w:szCs w:val="24"/>
        </w:rPr>
        <w:t xml:space="preserve"> “</w:t>
      </w:r>
      <w:r w:rsidR="00AD1624" w:rsidRPr="00765FD4">
        <w:rPr>
          <w:rFonts w:ascii="Arial" w:hAnsi="Arial" w:cs="Arial"/>
          <w:sz w:val="24"/>
          <w:szCs w:val="24"/>
        </w:rPr>
        <w:t>c</w:t>
      </w:r>
      <w:r w:rsidR="000F6362" w:rsidRPr="00765FD4">
        <w:rPr>
          <w:rFonts w:ascii="Arial" w:hAnsi="Arial" w:cs="Arial"/>
          <w:sz w:val="24"/>
          <w:szCs w:val="24"/>
        </w:rPr>
        <w:t>obertura básica ampla (coberturas para quaisquer eventos que possam causar danos físicos ao imóvel segurado, exceto os expressamente excluídos)</w:t>
      </w:r>
      <w:r w:rsidR="003C6395" w:rsidRPr="00765FD4">
        <w:rPr>
          <w:rFonts w:ascii="Arial" w:hAnsi="Arial" w:cs="Arial"/>
          <w:sz w:val="24"/>
          <w:szCs w:val="24"/>
        </w:rPr>
        <w:t>”. O mercado visa mostrar os valores totais de modo a refletir os prêmios realmente pagos pelos consumidores de seguros na prática.</w:t>
      </w:r>
    </w:p>
    <w:p w14:paraId="40BB2CF0" w14:textId="77777777" w:rsidR="000F6084" w:rsidRPr="006D79F7" w:rsidRDefault="000F6084" w:rsidP="000F60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AE4122" w14:textId="77777777" w:rsidR="00825133" w:rsidRDefault="00825133" w:rsidP="000F60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FD704F0" w14:textId="77777777" w:rsidR="00825133" w:rsidRPr="00271630" w:rsidRDefault="00825133" w:rsidP="000F60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AE1951" w14:textId="1961363C" w:rsidR="003023D2" w:rsidRDefault="00A568D3" w:rsidP="00AF35CC">
      <w:pPr>
        <w:pStyle w:val="Estilo1"/>
        <w:numPr>
          <w:ilvl w:val="1"/>
          <w:numId w:val="13"/>
        </w:numPr>
      </w:pPr>
      <w:bookmarkStart w:id="58" w:name="_Toc159511160"/>
      <w:bookmarkStart w:id="59" w:name="_Toc159927040"/>
      <w:r w:rsidRPr="006D79F7">
        <w:lastRenderedPageBreak/>
        <w:t>S</w:t>
      </w:r>
      <w:r w:rsidR="0016675C" w:rsidRPr="006D79F7">
        <w:t>e</w:t>
      </w:r>
      <w:r w:rsidRPr="006D79F7">
        <w:t>guro Empresarial</w:t>
      </w:r>
      <w:bookmarkEnd w:id="58"/>
      <w:bookmarkEnd w:id="59"/>
      <w:r w:rsidR="00ED35D6" w:rsidRPr="006D79F7">
        <w:t xml:space="preserve"> </w:t>
      </w:r>
    </w:p>
    <w:p w14:paraId="69847380" w14:textId="5256632F" w:rsidR="003023D2" w:rsidRPr="003023D2" w:rsidRDefault="003023D2" w:rsidP="00AF35CC">
      <w:pPr>
        <w:pStyle w:val="Estilo1"/>
        <w:numPr>
          <w:ilvl w:val="2"/>
          <w:numId w:val="13"/>
        </w:numPr>
        <w:rPr>
          <w:b w:val="0"/>
          <w:color w:val="70AD47" w:themeColor="accent6"/>
        </w:rPr>
      </w:pPr>
      <w:bookmarkStart w:id="60" w:name="_Toc159511161"/>
      <w:bookmarkStart w:id="61" w:name="_Toc159927041"/>
      <w:r w:rsidRPr="003023D2">
        <w:t>Metodologia</w:t>
      </w:r>
      <w:bookmarkEnd w:id="60"/>
      <w:bookmarkEnd w:id="61"/>
    </w:p>
    <w:p w14:paraId="50082061" w14:textId="69AE9484" w:rsidR="00AA3357" w:rsidRPr="006D79F7" w:rsidRDefault="00AA3357" w:rsidP="003023D2">
      <w:pPr>
        <w:spacing w:line="36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A proposta é que o </w:t>
      </w:r>
      <w:r w:rsidR="00493D68" w:rsidRPr="006D79F7">
        <w:rPr>
          <w:rFonts w:ascii="Arial" w:hAnsi="Arial" w:cs="Arial"/>
          <w:sz w:val="24"/>
          <w:szCs w:val="24"/>
        </w:rPr>
        <w:t>produto</w:t>
      </w:r>
      <w:r w:rsidRPr="006D79F7">
        <w:rPr>
          <w:rFonts w:ascii="Arial" w:hAnsi="Arial" w:cs="Arial"/>
          <w:sz w:val="24"/>
          <w:szCs w:val="24"/>
        </w:rPr>
        <w:t xml:space="preserve"> </w:t>
      </w:r>
      <w:r w:rsidR="00997901" w:rsidRPr="006D79F7">
        <w:rPr>
          <w:rFonts w:ascii="Arial" w:hAnsi="Arial" w:cs="Arial"/>
          <w:sz w:val="24"/>
          <w:szCs w:val="24"/>
        </w:rPr>
        <w:t>Empresarial</w:t>
      </w:r>
      <w:r w:rsidRPr="006D79F7">
        <w:rPr>
          <w:rFonts w:ascii="Arial" w:hAnsi="Arial" w:cs="Arial"/>
          <w:sz w:val="24"/>
          <w:szCs w:val="24"/>
        </w:rPr>
        <w:t xml:space="preserve"> siga a metodologia padrão apresentada, levando em consideração as seguintes faixas de LMI, que tiveram como referência as coberturas básicas:</w:t>
      </w:r>
    </w:p>
    <w:p w14:paraId="62CF0519" w14:textId="77777777" w:rsidR="00AA3357" w:rsidRPr="006D79F7" w:rsidRDefault="00AA335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0 – 200.000,00; </w:t>
      </w:r>
    </w:p>
    <w:p w14:paraId="3B038472" w14:textId="77777777" w:rsidR="00AA3357" w:rsidRPr="006D79F7" w:rsidRDefault="00AA335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200.000,01 – 400.000,00; </w:t>
      </w:r>
    </w:p>
    <w:p w14:paraId="10FCE6A1" w14:textId="77777777" w:rsidR="00AA3357" w:rsidRPr="006D79F7" w:rsidRDefault="00AA335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400.000,01 – 600.000,00; </w:t>
      </w:r>
    </w:p>
    <w:p w14:paraId="150994FE" w14:textId="69D28A72" w:rsidR="00AA3357" w:rsidRDefault="00AA335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600.000,01 – 1.000.000,00.</w:t>
      </w:r>
    </w:p>
    <w:p w14:paraId="65191FD5" w14:textId="06628858" w:rsidR="003023D2" w:rsidRPr="00D42ABB" w:rsidRDefault="00D42ABB" w:rsidP="00AF35CC">
      <w:pPr>
        <w:pStyle w:val="Estilo1"/>
        <w:numPr>
          <w:ilvl w:val="2"/>
          <w:numId w:val="13"/>
        </w:numPr>
        <w:rPr>
          <w:b w:val="0"/>
        </w:rPr>
      </w:pPr>
      <w:bookmarkStart w:id="62" w:name="_Toc159511162"/>
      <w:bookmarkStart w:id="63" w:name="_Toc159927042"/>
      <w:r w:rsidRPr="00D42ABB">
        <w:t>Premissas</w:t>
      </w:r>
      <w:bookmarkEnd w:id="62"/>
      <w:bookmarkEnd w:id="63"/>
    </w:p>
    <w:p w14:paraId="2BA58CFF" w14:textId="77777777" w:rsidR="00AA3357" w:rsidRPr="006D79F7" w:rsidRDefault="00AA3357" w:rsidP="003023D2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Neste grupo serão consideradas as premissas padronizadas, mencionadas anteriormente, com o acréscimo da seguinte:</w:t>
      </w:r>
    </w:p>
    <w:p w14:paraId="6764806C" w14:textId="3AFF98DA" w:rsidR="00D42ABB" w:rsidRDefault="00AA3357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Será considerada toda a carteira, tanto Pessoa Física quanto Pessoa Jurídica.</w:t>
      </w:r>
    </w:p>
    <w:p w14:paraId="053D2E65" w14:textId="216D7CC7" w:rsidR="001F1BC8" w:rsidRPr="00F17372" w:rsidRDefault="00C86D30" w:rsidP="00AF35CC">
      <w:pPr>
        <w:pStyle w:val="Estilo1"/>
        <w:numPr>
          <w:ilvl w:val="2"/>
          <w:numId w:val="13"/>
        </w:numPr>
        <w:rPr>
          <w:i/>
        </w:rPr>
      </w:pPr>
      <w:bookmarkStart w:id="64" w:name="_Toc159511163"/>
      <w:bookmarkStart w:id="65" w:name="_Toc159927043"/>
      <w:proofErr w:type="spellStart"/>
      <w:r w:rsidRPr="00AF35CC">
        <w:rPr>
          <w:i/>
        </w:rPr>
        <w:t>Disclaimer</w:t>
      </w:r>
      <w:bookmarkEnd w:id="64"/>
      <w:bookmarkEnd w:id="65"/>
      <w:proofErr w:type="spellEnd"/>
    </w:p>
    <w:p w14:paraId="4877832D" w14:textId="15E41820" w:rsidR="00C86D30" w:rsidRPr="00F46C86" w:rsidRDefault="00C86D30" w:rsidP="00F17372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271630">
        <w:rPr>
          <w:rFonts w:ascii="Arial" w:hAnsi="Arial" w:cs="Arial"/>
          <w:i/>
          <w:sz w:val="24"/>
          <w:szCs w:val="24"/>
        </w:rPr>
        <w:t>disclaimers</w:t>
      </w:r>
      <w:proofErr w:type="spellEnd"/>
      <w:r w:rsidRPr="00271630">
        <w:rPr>
          <w:rFonts w:ascii="Arial" w:hAnsi="Arial" w:cs="Arial"/>
          <w:sz w:val="24"/>
          <w:szCs w:val="24"/>
        </w:rPr>
        <w:t xml:space="preserve"> padronizados, mencionados anteriormente.</w:t>
      </w:r>
    </w:p>
    <w:p w14:paraId="29DAF035" w14:textId="01874F7A" w:rsidR="00D42ABB" w:rsidRPr="00D42ABB" w:rsidRDefault="00D42ABB" w:rsidP="00AF35CC">
      <w:pPr>
        <w:pStyle w:val="Estilo1"/>
        <w:numPr>
          <w:ilvl w:val="2"/>
          <w:numId w:val="13"/>
        </w:numPr>
        <w:rPr>
          <w:b w:val="0"/>
        </w:rPr>
      </w:pPr>
      <w:bookmarkStart w:id="66" w:name="_Toc159511164"/>
      <w:bookmarkStart w:id="67" w:name="_Toc159927044"/>
      <w:r w:rsidRPr="00D42ABB">
        <w:t>Cobertura</w:t>
      </w:r>
      <w:r w:rsidR="004E26F5">
        <w:t>s</w:t>
      </w:r>
      <w:bookmarkEnd w:id="66"/>
      <w:bookmarkEnd w:id="67"/>
    </w:p>
    <w:p w14:paraId="33EE4723" w14:textId="1699039D" w:rsidR="00CA527C" w:rsidRPr="006D79F7" w:rsidRDefault="000F6084" w:rsidP="003023D2">
      <w:pPr>
        <w:spacing w:line="360" w:lineRule="auto"/>
        <w:ind w:left="426" w:firstLine="708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CA527C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</w:t>
      </w:r>
      <w:r w:rsidR="000B6EF8" w:rsidRPr="00765FD4">
        <w:rPr>
          <w:rFonts w:ascii="Arial" w:hAnsi="Arial" w:cs="Arial"/>
          <w:sz w:val="24"/>
          <w:szCs w:val="24"/>
        </w:rPr>
        <w:t xml:space="preserve">que contenham </w:t>
      </w:r>
      <w:r w:rsidR="00FD49B6" w:rsidRPr="00765FD4">
        <w:rPr>
          <w:rFonts w:ascii="Arial" w:hAnsi="Arial" w:cs="Arial"/>
          <w:sz w:val="24"/>
          <w:szCs w:val="24"/>
        </w:rPr>
        <w:t xml:space="preserve">no mínimo </w:t>
      </w:r>
      <w:r w:rsidR="000B6EF8" w:rsidRPr="00765FD4">
        <w:rPr>
          <w:rFonts w:ascii="Arial" w:hAnsi="Arial" w:cs="Arial"/>
          <w:sz w:val="24"/>
          <w:szCs w:val="24"/>
        </w:rPr>
        <w:t xml:space="preserve">a </w:t>
      </w:r>
      <w:r w:rsidR="00CA527C" w:rsidRPr="00765FD4">
        <w:rPr>
          <w:rFonts w:ascii="Arial" w:hAnsi="Arial" w:cs="Arial"/>
          <w:sz w:val="24"/>
          <w:szCs w:val="24"/>
        </w:rPr>
        <w:t>cobertura de "</w:t>
      </w:r>
      <w:r w:rsidR="00D97BDE" w:rsidRPr="00765FD4">
        <w:rPr>
          <w:rFonts w:ascii="Arial" w:hAnsi="Arial" w:cs="Arial"/>
          <w:sz w:val="24"/>
          <w:szCs w:val="24"/>
        </w:rPr>
        <w:t>i</w:t>
      </w:r>
      <w:r w:rsidR="00D034B9" w:rsidRPr="00765FD4">
        <w:rPr>
          <w:rFonts w:ascii="Arial" w:hAnsi="Arial" w:cs="Arial"/>
          <w:sz w:val="24"/>
          <w:szCs w:val="24"/>
        </w:rPr>
        <w:t>ncêndio, queda de raio e explosão</w:t>
      </w:r>
      <w:r w:rsidR="00CA527C" w:rsidRPr="00765FD4">
        <w:rPr>
          <w:rFonts w:ascii="Arial" w:hAnsi="Arial" w:cs="Arial"/>
          <w:sz w:val="24"/>
          <w:szCs w:val="24"/>
        </w:rPr>
        <w:t>”. O mercado visa mostrar os valores totais de modo a refletir os prêmios realmente pagos pelos consumidores de seguros na prática.</w:t>
      </w:r>
    </w:p>
    <w:p w14:paraId="337292FB" w14:textId="06C3DE03" w:rsidR="00E71C51" w:rsidRDefault="00E71C51">
      <w:pPr>
        <w:rPr>
          <w:rFonts w:ascii="Arial" w:eastAsiaTheme="majorEastAsia" w:hAnsi="Arial" w:cstheme="majorBidi"/>
          <w:b/>
          <w:sz w:val="24"/>
          <w:szCs w:val="32"/>
        </w:rPr>
      </w:pPr>
      <w:bookmarkStart w:id="68" w:name="_Toc159511165"/>
    </w:p>
    <w:p w14:paraId="7F4F9087" w14:textId="77777777" w:rsidR="000659E4" w:rsidRDefault="000659E4">
      <w:pPr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7D9AA1B6" w14:textId="1DAFE0CB" w:rsidR="00AA0865" w:rsidRDefault="00A568D3" w:rsidP="00AF35CC">
      <w:pPr>
        <w:pStyle w:val="Estilo1"/>
        <w:numPr>
          <w:ilvl w:val="1"/>
          <w:numId w:val="13"/>
        </w:numPr>
      </w:pPr>
      <w:bookmarkStart w:id="69" w:name="_Toc159927045"/>
      <w:r w:rsidRPr="006D79F7">
        <w:lastRenderedPageBreak/>
        <w:t>Seguro Riscos Diversos</w:t>
      </w:r>
      <w:bookmarkEnd w:id="68"/>
      <w:bookmarkEnd w:id="69"/>
    </w:p>
    <w:p w14:paraId="51F03DC2" w14:textId="13EB62EF" w:rsidR="00AA0865" w:rsidRDefault="008365F9" w:rsidP="00AF35CC">
      <w:pPr>
        <w:pStyle w:val="Estilo1"/>
        <w:numPr>
          <w:ilvl w:val="2"/>
          <w:numId w:val="13"/>
        </w:numPr>
      </w:pPr>
      <w:bookmarkStart w:id="70" w:name="_Toc159511166"/>
      <w:bookmarkStart w:id="71" w:name="_Toc159927046"/>
      <w:r w:rsidRPr="00AF35CC">
        <w:t>Metodologia</w:t>
      </w:r>
      <w:bookmarkEnd w:id="70"/>
      <w:bookmarkEnd w:id="71"/>
    </w:p>
    <w:p w14:paraId="25EA197E" w14:textId="4C9870A6" w:rsidR="008365F9" w:rsidRPr="00271630" w:rsidRDefault="008365F9" w:rsidP="00F17372">
      <w:pPr>
        <w:ind w:left="426" w:firstLine="567"/>
        <w:jc w:val="both"/>
        <w:rPr>
          <w:rFonts w:cs="Arial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A proposta é que o </w:t>
      </w:r>
      <w:r w:rsidR="00803FAA" w:rsidRPr="00271630">
        <w:rPr>
          <w:rFonts w:ascii="Arial" w:hAnsi="Arial" w:cs="Arial"/>
          <w:sz w:val="24"/>
          <w:szCs w:val="24"/>
        </w:rPr>
        <w:t>ramo de</w:t>
      </w:r>
      <w:r w:rsidRPr="00271630">
        <w:rPr>
          <w:rFonts w:ascii="Arial" w:hAnsi="Arial" w:cs="Arial"/>
          <w:sz w:val="24"/>
          <w:szCs w:val="24"/>
        </w:rPr>
        <w:t xml:space="preserve"> </w:t>
      </w:r>
      <w:r w:rsidR="00803FAA" w:rsidRPr="00271630">
        <w:rPr>
          <w:rFonts w:ascii="Arial" w:hAnsi="Arial" w:cs="Arial"/>
          <w:sz w:val="24"/>
          <w:szCs w:val="24"/>
        </w:rPr>
        <w:t>r</w:t>
      </w:r>
      <w:r w:rsidRPr="00271630">
        <w:rPr>
          <w:rFonts w:ascii="Arial" w:hAnsi="Arial" w:cs="Arial"/>
          <w:sz w:val="24"/>
          <w:szCs w:val="24"/>
        </w:rPr>
        <w:t xml:space="preserve">iscos </w:t>
      </w:r>
      <w:r w:rsidR="00803FAA" w:rsidRPr="00271630">
        <w:rPr>
          <w:rFonts w:ascii="Arial" w:hAnsi="Arial" w:cs="Arial"/>
          <w:sz w:val="24"/>
          <w:szCs w:val="24"/>
        </w:rPr>
        <w:t>d</w:t>
      </w:r>
      <w:r w:rsidRPr="00271630">
        <w:rPr>
          <w:rFonts w:ascii="Arial" w:hAnsi="Arial" w:cs="Arial"/>
          <w:sz w:val="24"/>
          <w:szCs w:val="24"/>
        </w:rPr>
        <w:t>iversos</w:t>
      </w:r>
      <w:r w:rsidR="00803FAA" w:rsidRPr="00271630">
        <w:rPr>
          <w:rFonts w:ascii="Arial" w:hAnsi="Arial" w:cs="Arial"/>
          <w:sz w:val="24"/>
          <w:szCs w:val="24"/>
        </w:rPr>
        <w:t xml:space="preserve"> apresente somente os produtos de celulares e cartões. Além disso, estes deverão </w:t>
      </w:r>
      <w:r w:rsidRPr="00271630">
        <w:rPr>
          <w:rFonts w:ascii="Arial" w:hAnsi="Arial" w:cs="Arial"/>
          <w:sz w:val="24"/>
          <w:szCs w:val="24"/>
        </w:rPr>
        <w:t>s</w:t>
      </w:r>
      <w:r w:rsidR="00803FAA" w:rsidRPr="00271630">
        <w:rPr>
          <w:rFonts w:ascii="Arial" w:hAnsi="Arial" w:cs="Arial"/>
          <w:sz w:val="24"/>
          <w:szCs w:val="24"/>
        </w:rPr>
        <w:t>eguir</w:t>
      </w:r>
      <w:r w:rsidRPr="00271630">
        <w:rPr>
          <w:rFonts w:ascii="Arial" w:hAnsi="Arial" w:cs="Arial"/>
          <w:sz w:val="24"/>
          <w:szCs w:val="24"/>
        </w:rPr>
        <w:t xml:space="preserve"> a metodologia padrão apresentada, levando em consideração as seguintes faixas de LMI, que tiveram como referência a</w:t>
      </w:r>
      <w:r w:rsidR="000E7B0B" w:rsidRPr="00271630">
        <w:rPr>
          <w:rFonts w:ascii="Arial" w:hAnsi="Arial" w:cs="Arial"/>
          <w:sz w:val="24"/>
          <w:szCs w:val="24"/>
        </w:rPr>
        <w:t>s</w:t>
      </w:r>
      <w:r w:rsidRPr="00271630">
        <w:rPr>
          <w:rFonts w:ascii="Arial" w:hAnsi="Arial" w:cs="Arial"/>
          <w:sz w:val="24"/>
          <w:szCs w:val="24"/>
        </w:rPr>
        <w:t xml:space="preserve"> cobertura</w:t>
      </w:r>
      <w:r w:rsidR="000E7B0B" w:rsidRPr="00271630">
        <w:rPr>
          <w:rFonts w:ascii="Arial" w:hAnsi="Arial" w:cs="Arial"/>
          <w:sz w:val="24"/>
          <w:szCs w:val="24"/>
        </w:rPr>
        <w:t>s</w:t>
      </w:r>
      <w:r w:rsidRPr="00271630">
        <w:rPr>
          <w:rFonts w:ascii="Arial" w:hAnsi="Arial" w:cs="Arial"/>
          <w:sz w:val="24"/>
          <w:szCs w:val="24"/>
        </w:rPr>
        <w:t xml:space="preserve"> básica</w:t>
      </w:r>
      <w:r w:rsidR="000E7B0B" w:rsidRPr="00271630">
        <w:rPr>
          <w:rFonts w:ascii="Arial" w:hAnsi="Arial" w:cs="Arial"/>
          <w:sz w:val="24"/>
          <w:szCs w:val="24"/>
        </w:rPr>
        <w:t>s</w:t>
      </w:r>
      <w:r w:rsidRPr="00271630">
        <w:rPr>
          <w:rFonts w:ascii="Arial" w:hAnsi="Arial" w:cs="Arial"/>
          <w:sz w:val="24"/>
          <w:szCs w:val="24"/>
        </w:rPr>
        <w:t>:</w:t>
      </w:r>
    </w:p>
    <w:p w14:paraId="60435429" w14:textId="138B189F" w:rsidR="008365F9" w:rsidRPr="00271630" w:rsidRDefault="008365F9">
      <w:pPr>
        <w:pStyle w:val="Estilo2"/>
        <w:numPr>
          <w:ilvl w:val="0"/>
          <w:numId w:val="8"/>
        </w:numPr>
        <w:outlineLvl w:val="9"/>
        <w:rPr>
          <w:rFonts w:eastAsiaTheme="minorHAnsi" w:cs="Arial"/>
          <w:b w:val="0"/>
          <w:szCs w:val="24"/>
        </w:rPr>
      </w:pPr>
      <w:r w:rsidRPr="00271630">
        <w:rPr>
          <w:rFonts w:eastAsiaTheme="minorHAnsi" w:cs="Arial"/>
          <w:b w:val="0"/>
          <w:szCs w:val="24"/>
        </w:rPr>
        <w:t xml:space="preserve">Produto </w:t>
      </w:r>
      <w:r w:rsidR="00CF6AFA" w:rsidRPr="00271630">
        <w:rPr>
          <w:rFonts w:eastAsiaTheme="minorHAnsi" w:cs="Arial"/>
          <w:b w:val="0"/>
          <w:szCs w:val="24"/>
        </w:rPr>
        <w:t xml:space="preserve">- </w:t>
      </w:r>
      <w:r w:rsidRPr="00271630">
        <w:rPr>
          <w:rFonts w:eastAsiaTheme="minorHAnsi" w:cs="Arial"/>
          <w:b w:val="0"/>
          <w:szCs w:val="24"/>
        </w:rPr>
        <w:t>C</w:t>
      </w:r>
      <w:r w:rsidR="00CF6AFA" w:rsidRPr="00271630">
        <w:rPr>
          <w:rFonts w:eastAsiaTheme="minorHAnsi" w:cs="Arial"/>
          <w:b w:val="0"/>
          <w:szCs w:val="24"/>
        </w:rPr>
        <w:t>elular</w:t>
      </w:r>
      <w:r w:rsidRPr="00271630">
        <w:rPr>
          <w:rFonts w:eastAsiaTheme="minorHAnsi" w:cs="Arial"/>
          <w:b w:val="0"/>
          <w:szCs w:val="24"/>
        </w:rPr>
        <w:t>es:</w:t>
      </w:r>
    </w:p>
    <w:p w14:paraId="5CDD9E29" w14:textId="634FA983" w:rsidR="008365F9" w:rsidRPr="00271630" w:rsidRDefault="008365F9">
      <w:pPr>
        <w:pStyle w:val="Estilo2"/>
        <w:numPr>
          <w:ilvl w:val="1"/>
          <w:numId w:val="8"/>
        </w:numPr>
        <w:outlineLvl w:val="9"/>
        <w:rPr>
          <w:rFonts w:eastAsiaTheme="minorHAnsi" w:cs="Arial"/>
          <w:b w:val="0"/>
          <w:szCs w:val="24"/>
        </w:rPr>
      </w:pPr>
      <w:r w:rsidRPr="00271630">
        <w:rPr>
          <w:rFonts w:eastAsiaTheme="minorHAnsi" w:cs="Arial"/>
          <w:b w:val="0"/>
          <w:szCs w:val="24"/>
        </w:rPr>
        <w:t xml:space="preserve">0 – </w:t>
      </w:r>
      <w:r w:rsidR="00CF6AFA" w:rsidRPr="00271630">
        <w:rPr>
          <w:rFonts w:eastAsiaTheme="minorHAnsi" w:cs="Arial"/>
          <w:b w:val="0"/>
          <w:szCs w:val="24"/>
        </w:rPr>
        <w:t>2.0</w:t>
      </w:r>
      <w:r w:rsidRPr="00271630">
        <w:rPr>
          <w:rFonts w:eastAsiaTheme="minorHAnsi" w:cs="Arial"/>
          <w:b w:val="0"/>
          <w:szCs w:val="24"/>
        </w:rPr>
        <w:t>00,00;</w:t>
      </w:r>
    </w:p>
    <w:p w14:paraId="1C7DF0BA" w14:textId="50B267B9" w:rsidR="008365F9" w:rsidRPr="00271630" w:rsidRDefault="00CF6AFA">
      <w:pPr>
        <w:pStyle w:val="Estilo2"/>
        <w:numPr>
          <w:ilvl w:val="1"/>
          <w:numId w:val="8"/>
        </w:numPr>
        <w:outlineLvl w:val="9"/>
        <w:rPr>
          <w:rFonts w:eastAsiaTheme="minorHAnsi" w:cs="Arial"/>
          <w:b w:val="0"/>
          <w:szCs w:val="24"/>
        </w:rPr>
      </w:pPr>
      <w:r w:rsidRPr="00271630">
        <w:rPr>
          <w:rFonts w:cs="Arial"/>
          <w:b w:val="0"/>
          <w:szCs w:val="24"/>
        </w:rPr>
        <w:t>2.0</w:t>
      </w:r>
      <w:r w:rsidR="008365F9" w:rsidRPr="00271630">
        <w:rPr>
          <w:rFonts w:cs="Arial"/>
          <w:b w:val="0"/>
          <w:szCs w:val="24"/>
        </w:rPr>
        <w:t xml:space="preserve">00,01 – </w:t>
      </w:r>
      <w:r w:rsidRPr="00271630">
        <w:rPr>
          <w:rFonts w:cs="Arial"/>
          <w:b w:val="0"/>
          <w:szCs w:val="24"/>
        </w:rPr>
        <w:t>4</w:t>
      </w:r>
      <w:r w:rsidR="008365F9" w:rsidRPr="00271630">
        <w:rPr>
          <w:rFonts w:cs="Arial"/>
          <w:b w:val="0"/>
          <w:szCs w:val="24"/>
        </w:rPr>
        <w:t>.000,00;</w:t>
      </w:r>
    </w:p>
    <w:p w14:paraId="3DB78D95" w14:textId="6C5A793D" w:rsidR="008365F9" w:rsidRPr="00271630" w:rsidRDefault="00CF6AFA">
      <w:pPr>
        <w:pStyle w:val="Estilo2"/>
        <w:numPr>
          <w:ilvl w:val="1"/>
          <w:numId w:val="8"/>
        </w:numPr>
        <w:outlineLvl w:val="9"/>
        <w:rPr>
          <w:rFonts w:eastAsiaTheme="minorHAnsi" w:cs="Arial"/>
          <w:b w:val="0"/>
          <w:szCs w:val="24"/>
        </w:rPr>
      </w:pPr>
      <w:r w:rsidRPr="00271630">
        <w:rPr>
          <w:rFonts w:cs="Arial"/>
          <w:b w:val="0"/>
          <w:szCs w:val="24"/>
        </w:rPr>
        <w:t>4</w:t>
      </w:r>
      <w:r w:rsidR="008365F9" w:rsidRPr="00271630">
        <w:rPr>
          <w:rFonts w:cs="Arial"/>
          <w:b w:val="0"/>
          <w:szCs w:val="24"/>
        </w:rPr>
        <w:t xml:space="preserve">.000,01 – </w:t>
      </w:r>
      <w:r w:rsidRPr="00271630">
        <w:rPr>
          <w:rFonts w:cs="Arial"/>
          <w:b w:val="0"/>
          <w:szCs w:val="24"/>
        </w:rPr>
        <w:t>6</w:t>
      </w:r>
      <w:r w:rsidR="008365F9" w:rsidRPr="00271630">
        <w:rPr>
          <w:rFonts w:cs="Arial"/>
          <w:b w:val="0"/>
          <w:szCs w:val="24"/>
        </w:rPr>
        <w:t>.</w:t>
      </w:r>
      <w:r w:rsidRPr="00271630">
        <w:rPr>
          <w:rFonts w:cs="Arial"/>
          <w:b w:val="0"/>
          <w:szCs w:val="24"/>
        </w:rPr>
        <w:t>0</w:t>
      </w:r>
      <w:r w:rsidR="008365F9" w:rsidRPr="00271630">
        <w:rPr>
          <w:rFonts w:cs="Arial"/>
          <w:b w:val="0"/>
          <w:szCs w:val="24"/>
        </w:rPr>
        <w:t>00,00;</w:t>
      </w:r>
    </w:p>
    <w:p w14:paraId="0F8D1684" w14:textId="0DEB5081" w:rsidR="008365F9" w:rsidRPr="00271630" w:rsidRDefault="00CF6AFA">
      <w:pPr>
        <w:pStyle w:val="Estilo2"/>
        <w:numPr>
          <w:ilvl w:val="1"/>
          <w:numId w:val="8"/>
        </w:numPr>
        <w:outlineLvl w:val="9"/>
        <w:rPr>
          <w:rFonts w:eastAsiaTheme="minorHAnsi" w:cs="Arial"/>
          <w:b w:val="0"/>
          <w:szCs w:val="24"/>
        </w:rPr>
      </w:pPr>
      <w:r w:rsidRPr="00271630">
        <w:rPr>
          <w:rFonts w:cs="Arial"/>
          <w:b w:val="0"/>
          <w:szCs w:val="24"/>
        </w:rPr>
        <w:t>6</w:t>
      </w:r>
      <w:r w:rsidR="008365F9" w:rsidRPr="00271630">
        <w:rPr>
          <w:rFonts w:cs="Arial"/>
          <w:b w:val="0"/>
          <w:szCs w:val="24"/>
        </w:rPr>
        <w:t>.</w:t>
      </w:r>
      <w:r w:rsidRPr="00271630">
        <w:rPr>
          <w:rFonts w:cs="Arial"/>
          <w:b w:val="0"/>
          <w:szCs w:val="24"/>
        </w:rPr>
        <w:t>0</w:t>
      </w:r>
      <w:r w:rsidR="008365F9" w:rsidRPr="00271630">
        <w:rPr>
          <w:rFonts w:cs="Arial"/>
          <w:b w:val="0"/>
          <w:szCs w:val="24"/>
        </w:rPr>
        <w:t xml:space="preserve">00,01 – </w:t>
      </w:r>
      <w:r w:rsidRPr="00271630">
        <w:rPr>
          <w:rFonts w:cs="Arial"/>
          <w:b w:val="0"/>
          <w:szCs w:val="24"/>
        </w:rPr>
        <w:t>10</w:t>
      </w:r>
      <w:r w:rsidR="008365F9" w:rsidRPr="00271630">
        <w:rPr>
          <w:rFonts w:cs="Arial"/>
          <w:b w:val="0"/>
          <w:szCs w:val="24"/>
        </w:rPr>
        <w:t>.</w:t>
      </w:r>
      <w:r w:rsidRPr="00271630">
        <w:rPr>
          <w:rFonts w:cs="Arial"/>
          <w:b w:val="0"/>
          <w:szCs w:val="24"/>
        </w:rPr>
        <w:t>0</w:t>
      </w:r>
      <w:r w:rsidR="008365F9" w:rsidRPr="00271630">
        <w:rPr>
          <w:rFonts w:cs="Arial"/>
          <w:b w:val="0"/>
          <w:szCs w:val="24"/>
        </w:rPr>
        <w:t>00,00.</w:t>
      </w:r>
    </w:p>
    <w:p w14:paraId="177C2621" w14:textId="259681E5" w:rsidR="00CF6AFA" w:rsidRPr="00271630" w:rsidRDefault="00CF6AFA">
      <w:pPr>
        <w:pStyle w:val="Estilo2"/>
        <w:numPr>
          <w:ilvl w:val="0"/>
          <w:numId w:val="8"/>
        </w:numPr>
        <w:outlineLvl w:val="9"/>
        <w:rPr>
          <w:rFonts w:eastAsiaTheme="minorHAnsi" w:cs="Arial"/>
          <w:b w:val="0"/>
          <w:szCs w:val="24"/>
        </w:rPr>
      </w:pPr>
      <w:r w:rsidRPr="00271630">
        <w:rPr>
          <w:rFonts w:cs="Arial"/>
          <w:b w:val="0"/>
          <w:szCs w:val="24"/>
        </w:rPr>
        <w:t>Produto – Cartões</w:t>
      </w:r>
    </w:p>
    <w:p w14:paraId="4263C4EC" w14:textId="3F52844C" w:rsidR="00926D3F" w:rsidRPr="00271630" w:rsidRDefault="00926D3F">
      <w:pPr>
        <w:pStyle w:val="Estilo2"/>
        <w:numPr>
          <w:ilvl w:val="1"/>
          <w:numId w:val="8"/>
        </w:numPr>
        <w:outlineLvl w:val="9"/>
        <w:rPr>
          <w:rFonts w:cs="Arial"/>
          <w:b w:val="0"/>
          <w:szCs w:val="24"/>
        </w:rPr>
      </w:pPr>
      <w:r w:rsidRPr="00271630">
        <w:rPr>
          <w:rFonts w:cs="Arial"/>
          <w:b w:val="0"/>
          <w:szCs w:val="24"/>
        </w:rPr>
        <w:t xml:space="preserve">0 – 2.000,00; </w:t>
      </w:r>
    </w:p>
    <w:p w14:paraId="08866535" w14:textId="77777777" w:rsidR="00926D3F" w:rsidRPr="00271630" w:rsidRDefault="00926D3F">
      <w:pPr>
        <w:pStyle w:val="Estilo2"/>
        <w:numPr>
          <w:ilvl w:val="1"/>
          <w:numId w:val="8"/>
        </w:numPr>
        <w:outlineLvl w:val="9"/>
        <w:rPr>
          <w:rFonts w:cs="Arial"/>
          <w:b w:val="0"/>
          <w:szCs w:val="24"/>
        </w:rPr>
      </w:pPr>
      <w:r w:rsidRPr="00271630">
        <w:rPr>
          <w:rFonts w:cs="Arial"/>
          <w:b w:val="0"/>
          <w:szCs w:val="24"/>
        </w:rPr>
        <w:t>2.000,01 – 4.000,00;</w:t>
      </w:r>
    </w:p>
    <w:p w14:paraId="26E56312" w14:textId="77777777" w:rsidR="00926D3F" w:rsidRPr="00271630" w:rsidRDefault="00926D3F">
      <w:pPr>
        <w:pStyle w:val="Estilo2"/>
        <w:numPr>
          <w:ilvl w:val="1"/>
          <w:numId w:val="8"/>
        </w:numPr>
        <w:outlineLvl w:val="9"/>
        <w:rPr>
          <w:rFonts w:cs="Arial"/>
          <w:b w:val="0"/>
          <w:szCs w:val="24"/>
        </w:rPr>
      </w:pPr>
      <w:r w:rsidRPr="00271630">
        <w:rPr>
          <w:rFonts w:cs="Arial"/>
          <w:b w:val="0"/>
          <w:szCs w:val="24"/>
        </w:rPr>
        <w:t xml:space="preserve">4.000,01 – 6.000,00; </w:t>
      </w:r>
    </w:p>
    <w:p w14:paraId="663115BF" w14:textId="74657814" w:rsidR="00CF6AFA" w:rsidRPr="00CC161D" w:rsidRDefault="00926D3F">
      <w:pPr>
        <w:pStyle w:val="Estilo2"/>
        <w:numPr>
          <w:ilvl w:val="1"/>
          <w:numId w:val="8"/>
        </w:numPr>
        <w:outlineLvl w:val="9"/>
        <w:rPr>
          <w:rFonts w:eastAsiaTheme="minorHAnsi" w:cs="Arial"/>
          <w:b w:val="0"/>
          <w:szCs w:val="24"/>
        </w:rPr>
      </w:pPr>
      <w:r w:rsidRPr="00271630">
        <w:rPr>
          <w:rFonts w:cs="Arial"/>
          <w:b w:val="0"/>
          <w:szCs w:val="24"/>
        </w:rPr>
        <w:t>6.000,01 – 10.000,00.</w:t>
      </w:r>
    </w:p>
    <w:p w14:paraId="1F5CEFBD" w14:textId="3439FEFC" w:rsidR="008365F9" w:rsidRPr="008365F9" w:rsidRDefault="008365F9" w:rsidP="00AF35CC">
      <w:pPr>
        <w:pStyle w:val="Estilo1"/>
        <w:numPr>
          <w:ilvl w:val="2"/>
          <w:numId w:val="13"/>
        </w:numPr>
      </w:pPr>
      <w:bookmarkStart w:id="72" w:name="_Toc159511167"/>
      <w:bookmarkStart w:id="73" w:name="_Toc159927047"/>
      <w:r w:rsidRPr="008365F9">
        <w:t>Premissas</w:t>
      </w:r>
      <w:bookmarkEnd w:id="72"/>
      <w:bookmarkEnd w:id="73"/>
    </w:p>
    <w:p w14:paraId="5AF681D7" w14:textId="41BB1D4F" w:rsidR="008365F9" w:rsidRDefault="008365F9" w:rsidP="008365F9">
      <w:pPr>
        <w:ind w:left="426" w:firstLine="567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>Neste grupo serão consideradas as premissas padronizadas, mencionadas anteriormente.</w:t>
      </w:r>
    </w:p>
    <w:p w14:paraId="63B8B1B0" w14:textId="3E921960" w:rsidR="0077282A" w:rsidRPr="00AF35CC" w:rsidRDefault="00D546EB" w:rsidP="00AF35CC">
      <w:pPr>
        <w:pStyle w:val="Estilo1"/>
        <w:numPr>
          <w:ilvl w:val="2"/>
          <w:numId w:val="13"/>
        </w:numPr>
        <w:rPr>
          <w:i/>
        </w:rPr>
      </w:pPr>
      <w:bookmarkStart w:id="74" w:name="_Toc159511168"/>
      <w:bookmarkStart w:id="75" w:name="_Toc159927048"/>
      <w:proofErr w:type="spellStart"/>
      <w:r w:rsidRPr="00AF35CC">
        <w:rPr>
          <w:i/>
        </w:rPr>
        <w:t>Disclaime</w:t>
      </w:r>
      <w:r w:rsidR="00156A67" w:rsidRPr="00AF35CC">
        <w:rPr>
          <w:i/>
        </w:rPr>
        <w:t>r</w:t>
      </w:r>
      <w:bookmarkEnd w:id="74"/>
      <w:bookmarkEnd w:id="75"/>
      <w:proofErr w:type="spellEnd"/>
    </w:p>
    <w:p w14:paraId="0B60CDD7" w14:textId="78D055EF" w:rsidR="00251DC8" w:rsidRDefault="00251DC8" w:rsidP="00F17372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271630">
        <w:rPr>
          <w:rFonts w:ascii="Arial" w:hAnsi="Arial" w:cs="Arial"/>
          <w:i/>
          <w:sz w:val="24"/>
          <w:szCs w:val="24"/>
        </w:rPr>
        <w:t>disclaimers</w:t>
      </w:r>
      <w:proofErr w:type="spellEnd"/>
      <w:r w:rsidRPr="00271630">
        <w:rPr>
          <w:rFonts w:ascii="Arial" w:hAnsi="Arial" w:cs="Arial"/>
          <w:sz w:val="24"/>
          <w:szCs w:val="24"/>
        </w:rPr>
        <w:t xml:space="preserve"> padronizados, mencionados anteriormente.</w:t>
      </w:r>
    </w:p>
    <w:p w14:paraId="0E594263" w14:textId="27C25A60" w:rsidR="008365F9" w:rsidRPr="008365F9" w:rsidRDefault="008365F9" w:rsidP="00AF35CC">
      <w:pPr>
        <w:pStyle w:val="Estilo1"/>
        <w:numPr>
          <w:ilvl w:val="2"/>
          <w:numId w:val="13"/>
        </w:numPr>
      </w:pPr>
      <w:bookmarkStart w:id="76" w:name="_Toc159511169"/>
      <w:bookmarkStart w:id="77" w:name="_Toc159927049"/>
      <w:r>
        <w:t>Coberturas</w:t>
      </w:r>
      <w:r w:rsidR="00CF6AFA">
        <w:t xml:space="preserve"> para celulares e cartões</w:t>
      </w:r>
      <w:bookmarkEnd w:id="76"/>
      <w:bookmarkEnd w:id="77"/>
    </w:p>
    <w:p w14:paraId="52D1DF49" w14:textId="0E928B49" w:rsidR="00CF6AFA" w:rsidRPr="00271630" w:rsidRDefault="00CF6AFA" w:rsidP="00CF6AFA">
      <w:pPr>
        <w:ind w:left="426" w:firstLine="567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O valor do prêmio para celulares terá como base a seleção de apólices emitidas que contenham no mínimo a cobertura de </w:t>
      </w:r>
      <w:r w:rsidR="00A647D2" w:rsidRPr="00271630">
        <w:rPr>
          <w:rFonts w:ascii="Arial" w:hAnsi="Arial" w:cs="Arial"/>
          <w:sz w:val="24"/>
          <w:szCs w:val="24"/>
        </w:rPr>
        <w:t>roubo/furto e/ou quebra acidental</w:t>
      </w:r>
      <w:r w:rsidRPr="00271630">
        <w:rPr>
          <w:rFonts w:ascii="Arial" w:hAnsi="Arial" w:cs="Arial"/>
          <w:sz w:val="24"/>
          <w:szCs w:val="24"/>
        </w:rPr>
        <w:t xml:space="preserve">. Já </w:t>
      </w:r>
      <w:r w:rsidR="000A0F64" w:rsidRPr="00271630">
        <w:rPr>
          <w:rFonts w:ascii="Arial" w:hAnsi="Arial" w:cs="Arial"/>
          <w:sz w:val="24"/>
          <w:szCs w:val="24"/>
        </w:rPr>
        <w:t>o valor do prêmio para cartões terá</w:t>
      </w:r>
      <w:r w:rsidRPr="00271630">
        <w:rPr>
          <w:rFonts w:ascii="Arial" w:hAnsi="Arial" w:cs="Arial"/>
          <w:sz w:val="24"/>
          <w:szCs w:val="24"/>
        </w:rPr>
        <w:t xml:space="preserve"> como base a seleção de apólices emitidas que contenham no mínimo a cobertura de perda/roubo e</w:t>
      </w:r>
      <w:r w:rsidR="00926D3F" w:rsidRPr="00271630">
        <w:rPr>
          <w:rFonts w:ascii="Arial" w:hAnsi="Arial" w:cs="Arial"/>
          <w:sz w:val="24"/>
          <w:szCs w:val="24"/>
        </w:rPr>
        <w:t>/ou</w:t>
      </w:r>
      <w:r w:rsidRPr="00271630">
        <w:rPr>
          <w:rFonts w:ascii="Arial" w:hAnsi="Arial" w:cs="Arial"/>
          <w:sz w:val="24"/>
          <w:szCs w:val="24"/>
        </w:rPr>
        <w:t xml:space="preserve"> saque sob coação.</w:t>
      </w:r>
      <w:r w:rsidR="000A0F64" w:rsidRPr="00271630">
        <w:rPr>
          <w:rFonts w:ascii="Arial" w:hAnsi="Arial" w:cs="Arial"/>
          <w:sz w:val="24"/>
          <w:szCs w:val="24"/>
        </w:rPr>
        <w:t xml:space="preserve"> </w:t>
      </w:r>
    </w:p>
    <w:p w14:paraId="35AAC6F4" w14:textId="7B82D63C" w:rsidR="00CF6AFA" w:rsidRPr="005077D9" w:rsidRDefault="00CF6AFA" w:rsidP="005077D9">
      <w:pPr>
        <w:ind w:left="426" w:firstLine="567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>O mercado visa mostrar os valores totais de modo a refletir os prêmios realmente pagos pelos consumidores de seguros na prática.</w:t>
      </w:r>
    </w:p>
    <w:p w14:paraId="62D3AB9A" w14:textId="0018C954" w:rsidR="004E26F5" w:rsidRDefault="004A47F0" w:rsidP="00AF35CC">
      <w:pPr>
        <w:pStyle w:val="Estilo1"/>
        <w:numPr>
          <w:ilvl w:val="1"/>
          <w:numId w:val="13"/>
        </w:numPr>
      </w:pPr>
      <w:bookmarkStart w:id="78" w:name="_Toc159511171"/>
      <w:bookmarkStart w:id="79" w:name="_Toc159927050"/>
      <w:r w:rsidRPr="006D79F7">
        <w:lastRenderedPageBreak/>
        <w:t>Assistência e Garantia Estendida</w:t>
      </w:r>
      <w:bookmarkEnd w:id="78"/>
      <w:bookmarkEnd w:id="79"/>
    </w:p>
    <w:p w14:paraId="4EA82CE9" w14:textId="5FD9917C" w:rsidR="004E26F5" w:rsidRPr="004E26F5" w:rsidRDefault="004E26F5" w:rsidP="00AF35CC">
      <w:pPr>
        <w:pStyle w:val="Estilo1"/>
        <w:numPr>
          <w:ilvl w:val="2"/>
          <w:numId w:val="13"/>
        </w:numPr>
        <w:rPr>
          <w:b w:val="0"/>
        </w:rPr>
      </w:pPr>
      <w:bookmarkStart w:id="80" w:name="_Toc159927051"/>
      <w:r w:rsidRPr="004E26F5">
        <w:t>Metodologia</w:t>
      </w:r>
      <w:r w:rsidR="00982D30">
        <w:t xml:space="preserve"> para o produto de garantia estendida</w:t>
      </w:r>
      <w:bookmarkEnd w:id="80"/>
    </w:p>
    <w:p w14:paraId="45645440" w14:textId="201A6FDD" w:rsidR="004A08C7" w:rsidRPr="006D79F7" w:rsidRDefault="004A08C7" w:rsidP="004E26F5">
      <w:pPr>
        <w:spacing w:line="36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A proposta é que </w:t>
      </w:r>
      <w:r w:rsidR="00493D68" w:rsidRPr="006D79F7">
        <w:rPr>
          <w:rFonts w:ascii="Arial" w:hAnsi="Arial" w:cs="Arial"/>
          <w:sz w:val="24"/>
          <w:szCs w:val="24"/>
        </w:rPr>
        <w:t xml:space="preserve">o produto Garantia Estendida </w:t>
      </w:r>
      <w:r w:rsidRPr="006D79F7">
        <w:rPr>
          <w:rFonts w:ascii="Arial" w:hAnsi="Arial" w:cs="Arial"/>
          <w:sz w:val="24"/>
          <w:szCs w:val="24"/>
        </w:rPr>
        <w:t xml:space="preserve">siga a metodologia padrão apresentada, levando em consideração as seguintes faixas de </w:t>
      </w:r>
      <w:r w:rsidRPr="00765FD4">
        <w:rPr>
          <w:rFonts w:ascii="Arial" w:hAnsi="Arial" w:cs="Arial"/>
          <w:sz w:val="24"/>
          <w:szCs w:val="24"/>
        </w:rPr>
        <w:t>LMI, que tiveram como referência a cobertura básica:</w:t>
      </w:r>
    </w:p>
    <w:p w14:paraId="05041DA5" w14:textId="5C9260EC" w:rsidR="00880E2B" w:rsidRPr="006D79F7" w:rsidRDefault="00880E2B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0 – 500,00</w:t>
      </w:r>
      <w:r w:rsidR="00FC340B" w:rsidRPr="006D79F7">
        <w:rPr>
          <w:rFonts w:ascii="Arial" w:hAnsi="Arial" w:cs="Arial"/>
          <w:sz w:val="24"/>
          <w:szCs w:val="24"/>
        </w:rPr>
        <w:t>;</w:t>
      </w:r>
    </w:p>
    <w:p w14:paraId="5894BC60" w14:textId="647FE68D" w:rsidR="00453D09" w:rsidRPr="006D79F7" w:rsidRDefault="00880E2B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500,01 – </w:t>
      </w:r>
      <w:r w:rsidR="00033BA3" w:rsidRPr="006D79F7">
        <w:rPr>
          <w:rFonts w:ascii="Arial" w:hAnsi="Arial" w:cs="Arial"/>
          <w:sz w:val="24"/>
          <w:szCs w:val="24"/>
        </w:rPr>
        <w:t>1</w:t>
      </w:r>
      <w:r w:rsidRPr="006D79F7">
        <w:rPr>
          <w:rFonts w:ascii="Arial" w:hAnsi="Arial" w:cs="Arial"/>
          <w:sz w:val="24"/>
          <w:szCs w:val="24"/>
        </w:rPr>
        <w:t>.000,00</w:t>
      </w:r>
      <w:r w:rsidR="00FC340B" w:rsidRPr="006D79F7">
        <w:rPr>
          <w:rFonts w:ascii="Arial" w:hAnsi="Arial" w:cs="Arial"/>
          <w:sz w:val="24"/>
          <w:szCs w:val="24"/>
        </w:rPr>
        <w:t>;</w:t>
      </w:r>
    </w:p>
    <w:p w14:paraId="716C6687" w14:textId="49835119" w:rsidR="00453D09" w:rsidRPr="006D79F7" w:rsidRDefault="00033BA3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1</w:t>
      </w:r>
      <w:r w:rsidR="00880E2B" w:rsidRPr="006D79F7">
        <w:rPr>
          <w:rFonts w:ascii="Arial" w:hAnsi="Arial" w:cs="Arial"/>
          <w:sz w:val="24"/>
          <w:szCs w:val="24"/>
        </w:rPr>
        <w:t xml:space="preserve">.000,01 – </w:t>
      </w:r>
      <w:r w:rsidRPr="006D79F7">
        <w:rPr>
          <w:rFonts w:ascii="Arial" w:hAnsi="Arial" w:cs="Arial"/>
          <w:sz w:val="24"/>
          <w:szCs w:val="24"/>
        </w:rPr>
        <w:t>2</w:t>
      </w:r>
      <w:r w:rsidR="00880E2B" w:rsidRPr="006D79F7">
        <w:rPr>
          <w:rFonts w:ascii="Arial" w:hAnsi="Arial" w:cs="Arial"/>
          <w:sz w:val="24"/>
          <w:szCs w:val="24"/>
        </w:rPr>
        <w:t>.</w:t>
      </w:r>
      <w:r w:rsidRPr="006D79F7">
        <w:rPr>
          <w:rFonts w:ascii="Arial" w:hAnsi="Arial" w:cs="Arial"/>
          <w:sz w:val="24"/>
          <w:szCs w:val="24"/>
        </w:rPr>
        <w:t>5</w:t>
      </w:r>
      <w:r w:rsidR="00880E2B" w:rsidRPr="006D79F7">
        <w:rPr>
          <w:rFonts w:ascii="Arial" w:hAnsi="Arial" w:cs="Arial"/>
          <w:sz w:val="24"/>
          <w:szCs w:val="24"/>
        </w:rPr>
        <w:t>00,00</w:t>
      </w:r>
      <w:r w:rsidR="00FC340B" w:rsidRPr="006D79F7">
        <w:rPr>
          <w:rFonts w:ascii="Arial" w:hAnsi="Arial" w:cs="Arial"/>
          <w:sz w:val="24"/>
          <w:szCs w:val="24"/>
        </w:rPr>
        <w:t>;</w:t>
      </w:r>
    </w:p>
    <w:p w14:paraId="269B2CA7" w14:textId="33BA13CC" w:rsidR="004A08C7" w:rsidRDefault="00033BA3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2</w:t>
      </w:r>
      <w:r w:rsidR="00880E2B" w:rsidRPr="006D79F7">
        <w:rPr>
          <w:rFonts w:ascii="Arial" w:hAnsi="Arial" w:cs="Arial"/>
          <w:sz w:val="24"/>
          <w:szCs w:val="24"/>
        </w:rPr>
        <w:t>.</w:t>
      </w:r>
      <w:r w:rsidRPr="006D79F7">
        <w:rPr>
          <w:rFonts w:ascii="Arial" w:hAnsi="Arial" w:cs="Arial"/>
          <w:sz w:val="24"/>
          <w:szCs w:val="24"/>
        </w:rPr>
        <w:t>5</w:t>
      </w:r>
      <w:r w:rsidR="00880E2B" w:rsidRPr="006D79F7">
        <w:rPr>
          <w:rFonts w:ascii="Arial" w:hAnsi="Arial" w:cs="Arial"/>
          <w:sz w:val="24"/>
          <w:szCs w:val="24"/>
        </w:rPr>
        <w:t xml:space="preserve">00,01 – </w:t>
      </w:r>
      <w:r w:rsidRPr="006D79F7">
        <w:rPr>
          <w:rFonts w:ascii="Arial" w:hAnsi="Arial" w:cs="Arial"/>
          <w:sz w:val="24"/>
          <w:szCs w:val="24"/>
        </w:rPr>
        <w:t>7</w:t>
      </w:r>
      <w:r w:rsidR="00880E2B" w:rsidRPr="006D79F7">
        <w:rPr>
          <w:rFonts w:ascii="Arial" w:hAnsi="Arial" w:cs="Arial"/>
          <w:sz w:val="24"/>
          <w:szCs w:val="24"/>
        </w:rPr>
        <w:t>.</w:t>
      </w:r>
      <w:r w:rsidRPr="006D79F7">
        <w:rPr>
          <w:rFonts w:ascii="Arial" w:hAnsi="Arial" w:cs="Arial"/>
          <w:sz w:val="24"/>
          <w:szCs w:val="24"/>
        </w:rPr>
        <w:t>5</w:t>
      </w:r>
      <w:r w:rsidR="00880E2B" w:rsidRPr="006D79F7">
        <w:rPr>
          <w:rFonts w:ascii="Arial" w:hAnsi="Arial" w:cs="Arial"/>
          <w:sz w:val="24"/>
          <w:szCs w:val="24"/>
        </w:rPr>
        <w:t>00,00</w:t>
      </w:r>
      <w:r w:rsidR="001E6D45">
        <w:rPr>
          <w:rFonts w:ascii="Arial" w:hAnsi="Arial" w:cs="Arial"/>
          <w:sz w:val="24"/>
          <w:szCs w:val="24"/>
        </w:rPr>
        <w:t>.</w:t>
      </w:r>
    </w:p>
    <w:p w14:paraId="1484F459" w14:textId="5E4D158D" w:rsidR="00D26ED5" w:rsidRPr="00D26ED5" w:rsidRDefault="00D26ED5" w:rsidP="00AF35CC">
      <w:pPr>
        <w:pStyle w:val="Estilo1"/>
        <w:numPr>
          <w:ilvl w:val="2"/>
          <w:numId w:val="13"/>
        </w:numPr>
        <w:rPr>
          <w:b w:val="0"/>
        </w:rPr>
      </w:pPr>
      <w:bookmarkStart w:id="81" w:name="_Toc159511173"/>
      <w:bookmarkStart w:id="82" w:name="_Toc159927052"/>
      <w:r w:rsidRPr="00D26ED5">
        <w:t>Premissas</w:t>
      </w:r>
      <w:r w:rsidR="00DA6DB6">
        <w:t xml:space="preserve"> </w:t>
      </w:r>
      <w:r w:rsidR="001E6D45">
        <w:t>para o produto de garantia estendida</w:t>
      </w:r>
      <w:bookmarkEnd w:id="81"/>
      <w:bookmarkEnd w:id="82"/>
    </w:p>
    <w:p w14:paraId="0797AD70" w14:textId="164CA439" w:rsidR="00CE0E17" w:rsidRDefault="004A08C7" w:rsidP="004E26F5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Neste grupo serão consideradas as premissas padronizadas, mencionadas anteriorment</w:t>
      </w:r>
      <w:r w:rsidR="00CE0E17" w:rsidRPr="006D79F7">
        <w:rPr>
          <w:rFonts w:ascii="Arial" w:hAnsi="Arial" w:cs="Arial"/>
          <w:sz w:val="24"/>
          <w:szCs w:val="24"/>
        </w:rPr>
        <w:t>e.</w:t>
      </w:r>
    </w:p>
    <w:p w14:paraId="711902E6" w14:textId="40D0E182" w:rsidR="00134FB7" w:rsidRPr="00AF35CC" w:rsidRDefault="00134FB7" w:rsidP="00AF35CC">
      <w:pPr>
        <w:pStyle w:val="Estilo1"/>
        <w:numPr>
          <w:ilvl w:val="2"/>
          <w:numId w:val="13"/>
        </w:numPr>
      </w:pPr>
      <w:bookmarkStart w:id="83" w:name="_Toc159511174"/>
      <w:bookmarkStart w:id="84" w:name="_Toc159927053"/>
      <w:proofErr w:type="spellStart"/>
      <w:r w:rsidRPr="00AF35CC">
        <w:rPr>
          <w:i/>
        </w:rPr>
        <w:t>Disclaimer</w:t>
      </w:r>
      <w:proofErr w:type="spellEnd"/>
      <w:r w:rsidR="004C4E28" w:rsidRPr="00AF35CC">
        <w:rPr>
          <w:i/>
        </w:rPr>
        <w:t xml:space="preserve"> </w:t>
      </w:r>
      <w:r w:rsidR="004C4E28" w:rsidRPr="00AF35CC">
        <w:t>para o produto de garantia estendida</w:t>
      </w:r>
      <w:bookmarkEnd w:id="83"/>
      <w:bookmarkEnd w:id="84"/>
    </w:p>
    <w:p w14:paraId="60C49EF5" w14:textId="59B7092D" w:rsidR="00C0544A" w:rsidRDefault="00134FB7" w:rsidP="00134FB7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271630">
        <w:rPr>
          <w:rFonts w:ascii="Arial" w:hAnsi="Arial" w:cs="Arial"/>
          <w:i/>
          <w:sz w:val="24"/>
          <w:szCs w:val="24"/>
        </w:rPr>
        <w:t>disclaimers</w:t>
      </w:r>
      <w:proofErr w:type="spellEnd"/>
      <w:r w:rsidRPr="00271630">
        <w:rPr>
          <w:rFonts w:ascii="Arial" w:hAnsi="Arial" w:cs="Arial"/>
          <w:sz w:val="24"/>
          <w:szCs w:val="24"/>
        </w:rPr>
        <w:t xml:space="preserve"> padronizados, mencionados anteriormente.</w:t>
      </w:r>
    </w:p>
    <w:p w14:paraId="2AF50F3C" w14:textId="482B0214" w:rsidR="00D26ED5" w:rsidRPr="00D26ED5" w:rsidRDefault="00D26ED5" w:rsidP="00AF35CC">
      <w:pPr>
        <w:pStyle w:val="Estilo1"/>
        <w:numPr>
          <w:ilvl w:val="2"/>
          <w:numId w:val="13"/>
        </w:numPr>
        <w:rPr>
          <w:b w:val="0"/>
        </w:rPr>
      </w:pPr>
      <w:bookmarkStart w:id="85" w:name="_Toc159511175"/>
      <w:bookmarkStart w:id="86" w:name="_Toc159927054"/>
      <w:r w:rsidRPr="00D26ED5">
        <w:t>Coberturas</w:t>
      </w:r>
      <w:r w:rsidR="001E6D45">
        <w:t xml:space="preserve"> para o produto de garantia estendida</w:t>
      </w:r>
      <w:bookmarkEnd w:id="85"/>
      <w:bookmarkEnd w:id="86"/>
    </w:p>
    <w:p w14:paraId="57122173" w14:textId="071BD127" w:rsidR="004257FF" w:rsidRPr="006D79F7" w:rsidRDefault="004257FF" w:rsidP="004E26F5">
      <w:pPr>
        <w:spacing w:line="360" w:lineRule="auto"/>
        <w:ind w:left="426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O valor do prêmio terá como base a seleção de apólices emitidas </w:t>
      </w:r>
      <w:r w:rsidR="000B6EF8" w:rsidRPr="006D79F7">
        <w:rPr>
          <w:rFonts w:ascii="Arial" w:hAnsi="Arial" w:cs="Arial"/>
          <w:sz w:val="24"/>
          <w:szCs w:val="24"/>
        </w:rPr>
        <w:t xml:space="preserve">que contenham </w:t>
      </w:r>
      <w:r w:rsidR="001613FE" w:rsidRPr="006D79F7">
        <w:rPr>
          <w:rFonts w:ascii="Arial" w:hAnsi="Arial" w:cs="Arial"/>
          <w:sz w:val="24"/>
          <w:szCs w:val="24"/>
        </w:rPr>
        <w:t>no mínimo</w:t>
      </w:r>
      <w:r w:rsidR="000B6EF8" w:rsidRPr="006D79F7">
        <w:rPr>
          <w:rFonts w:ascii="Arial" w:hAnsi="Arial" w:cs="Arial"/>
          <w:sz w:val="24"/>
          <w:szCs w:val="24"/>
        </w:rPr>
        <w:t xml:space="preserve"> a </w:t>
      </w:r>
      <w:r w:rsidRPr="006D79F7">
        <w:rPr>
          <w:rFonts w:ascii="Arial" w:hAnsi="Arial" w:cs="Arial"/>
          <w:sz w:val="24"/>
          <w:szCs w:val="24"/>
        </w:rPr>
        <w:t>cobertura de "garantia estendida original</w:t>
      </w:r>
      <w:r w:rsidR="009D3C87" w:rsidRPr="006D79F7">
        <w:rPr>
          <w:rFonts w:ascii="Arial" w:hAnsi="Arial" w:cs="Arial"/>
          <w:sz w:val="24"/>
          <w:szCs w:val="24"/>
        </w:rPr>
        <w:t>”</w:t>
      </w:r>
      <w:r w:rsidRPr="006D79F7">
        <w:rPr>
          <w:rFonts w:ascii="Arial" w:hAnsi="Arial" w:cs="Arial"/>
          <w:sz w:val="24"/>
          <w:szCs w:val="24"/>
        </w:rPr>
        <w:t xml:space="preserve"> (defeito funcional). </w:t>
      </w:r>
    </w:p>
    <w:p w14:paraId="3A5239D1" w14:textId="16574AE8" w:rsidR="003B35C7" w:rsidRDefault="00ED3A6F" w:rsidP="00ED3A6F">
      <w:pPr>
        <w:tabs>
          <w:tab w:val="left" w:pos="540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915A07D" w14:textId="77777777" w:rsidR="003B35C7" w:rsidRPr="003B35C7" w:rsidRDefault="003B35C7" w:rsidP="003B35C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EBA33C" w14:textId="793B0343" w:rsidR="0061257D" w:rsidRDefault="004A47F0" w:rsidP="00AF35CC">
      <w:pPr>
        <w:pStyle w:val="Estilo1"/>
        <w:numPr>
          <w:ilvl w:val="1"/>
          <w:numId w:val="13"/>
        </w:numPr>
      </w:pPr>
      <w:bookmarkStart w:id="87" w:name="_Toc159511179"/>
      <w:bookmarkStart w:id="88" w:name="_Toc159927055"/>
      <w:r w:rsidRPr="006D79F7">
        <w:t>Seguro do Grupo Responsabilidades</w:t>
      </w:r>
      <w:bookmarkEnd w:id="87"/>
      <w:bookmarkEnd w:id="88"/>
    </w:p>
    <w:p w14:paraId="55566A78" w14:textId="0F2AD935" w:rsidR="0061257D" w:rsidRPr="0061257D" w:rsidRDefault="0061257D" w:rsidP="00AF35CC">
      <w:pPr>
        <w:pStyle w:val="Estilo1"/>
        <w:numPr>
          <w:ilvl w:val="2"/>
          <w:numId w:val="13"/>
        </w:numPr>
        <w:rPr>
          <w:b w:val="0"/>
        </w:rPr>
      </w:pPr>
      <w:bookmarkStart w:id="89" w:name="_Toc159511180"/>
      <w:bookmarkStart w:id="90" w:name="_Toc159927056"/>
      <w:r w:rsidRPr="0061257D">
        <w:t>Metodologia</w:t>
      </w:r>
      <w:bookmarkEnd w:id="89"/>
      <w:bookmarkEnd w:id="90"/>
    </w:p>
    <w:p w14:paraId="342FDA72" w14:textId="217E932A" w:rsidR="005162CE" w:rsidRPr="006D79F7" w:rsidRDefault="005162CE" w:rsidP="0061257D">
      <w:pPr>
        <w:spacing w:line="360" w:lineRule="auto"/>
        <w:ind w:left="360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A proposta é que o Grupo de Responsabilidades</w:t>
      </w:r>
      <w:r w:rsidR="00CB586C">
        <w:rPr>
          <w:rFonts w:ascii="Arial" w:hAnsi="Arial" w:cs="Arial"/>
          <w:sz w:val="24"/>
          <w:szCs w:val="24"/>
        </w:rPr>
        <w:t xml:space="preserve"> </w:t>
      </w:r>
      <w:r w:rsidR="00CB586C" w:rsidRPr="00271630">
        <w:rPr>
          <w:rFonts w:ascii="Arial" w:hAnsi="Arial" w:cs="Arial"/>
          <w:sz w:val="24"/>
          <w:szCs w:val="24"/>
        </w:rPr>
        <w:t>apresente somente a inf</w:t>
      </w:r>
      <w:r w:rsidR="00857202" w:rsidRPr="00271630">
        <w:rPr>
          <w:rFonts w:ascii="Arial" w:hAnsi="Arial" w:cs="Arial"/>
          <w:sz w:val="24"/>
          <w:szCs w:val="24"/>
        </w:rPr>
        <w:t xml:space="preserve">ormação ao ramo de </w:t>
      </w:r>
      <w:r w:rsidR="008C33A4" w:rsidRPr="00271630">
        <w:rPr>
          <w:rFonts w:ascii="Arial" w:hAnsi="Arial" w:cs="Arial"/>
          <w:sz w:val="24"/>
          <w:szCs w:val="24"/>
        </w:rPr>
        <w:t>Re</w:t>
      </w:r>
      <w:r w:rsidR="00857202" w:rsidRPr="00271630">
        <w:rPr>
          <w:rFonts w:ascii="Arial" w:hAnsi="Arial" w:cs="Arial"/>
          <w:sz w:val="24"/>
          <w:szCs w:val="24"/>
        </w:rPr>
        <w:t xml:space="preserve">sponsabilidade </w:t>
      </w:r>
      <w:r w:rsidR="008C33A4" w:rsidRPr="00271630">
        <w:rPr>
          <w:rFonts w:ascii="Arial" w:hAnsi="Arial" w:cs="Arial"/>
          <w:sz w:val="24"/>
          <w:szCs w:val="24"/>
        </w:rPr>
        <w:t>C</w:t>
      </w:r>
      <w:r w:rsidR="00EB10F2" w:rsidRPr="00271630">
        <w:rPr>
          <w:rFonts w:ascii="Arial" w:hAnsi="Arial" w:cs="Arial"/>
          <w:sz w:val="24"/>
          <w:szCs w:val="24"/>
        </w:rPr>
        <w:t xml:space="preserve">ivil </w:t>
      </w:r>
      <w:r w:rsidR="008C33A4" w:rsidRPr="00271630">
        <w:rPr>
          <w:rFonts w:ascii="Arial" w:hAnsi="Arial" w:cs="Arial"/>
          <w:sz w:val="24"/>
          <w:szCs w:val="24"/>
        </w:rPr>
        <w:t>P</w:t>
      </w:r>
      <w:r w:rsidR="00857202" w:rsidRPr="00271630">
        <w:rPr>
          <w:rFonts w:ascii="Arial" w:hAnsi="Arial" w:cs="Arial"/>
          <w:sz w:val="24"/>
          <w:szCs w:val="24"/>
        </w:rPr>
        <w:t>rofissional</w:t>
      </w:r>
      <w:r w:rsidR="00326DEE" w:rsidRPr="00271630">
        <w:rPr>
          <w:rFonts w:ascii="Arial" w:hAnsi="Arial" w:cs="Arial"/>
        </w:rPr>
        <w:t xml:space="preserve"> </w:t>
      </w:r>
      <w:r w:rsidR="00326DEE" w:rsidRPr="00271630">
        <w:rPr>
          <w:rFonts w:ascii="Arial" w:hAnsi="Arial" w:cs="Arial"/>
          <w:sz w:val="24"/>
          <w:szCs w:val="24"/>
        </w:rPr>
        <w:t>e que este</w:t>
      </w:r>
      <w:r w:rsidR="00326DEE">
        <w:rPr>
          <w:rFonts w:ascii="Arial" w:hAnsi="Arial" w:cs="Arial"/>
          <w:sz w:val="24"/>
          <w:szCs w:val="24"/>
        </w:rPr>
        <w:t xml:space="preserve"> </w:t>
      </w:r>
      <w:r w:rsidRPr="006D79F7">
        <w:rPr>
          <w:rFonts w:ascii="Arial" w:hAnsi="Arial" w:cs="Arial"/>
          <w:sz w:val="24"/>
          <w:szCs w:val="24"/>
        </w:rPr>
        <w:t>siga a metodologia padrão apresentada, levando em consideração as seguintes faixas de LMI</w:t>
      </w:r>
      <w:r w:rsidR="009F3561" w:rsidRPr="006D79F7">
        <w:rPr>
          <w:rFonts w:ascii="Arial" w:hAnsi="Arial" w:cs="Arial"/>
          <w:sz w:val="24"/>
          <w:szCs w:val="24"/>
        </w:rPr>
        <w:t>:</w:t>
      </w:r>
    </w:p>
    <w:p w14:paraId="7B0A08D2" w14:textId="6AD4D8C9" w:rsidR="00C04732" w:rsidRPr="00271630" w:rsidRDefault="00854B9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71630">
        <w:rPr>
          <w:rFonts w:ascii="Arial" w:hAnsi="Arial" w:cs="Arial"/>
          <w:sz w:val="24"/>
          <w:szCs w:val="24"/>
        </w:rPr>
        <w:t xml:space="preserve">0 - </w:t>
      </w:r>
      <w:r w:rsidR="00387C2E" w:rsidRPr="00271630">
        <w:rPr>
          <w:rFonts w:ascii="Arial" w:hAnsi="Arial" w:cs="Arial"/>
          <w:sz w:val="24"/>
          <w:szCs w:val="24"/>
        </w:rPr>
        <w:t>250.000,00</w:t>
      </w:r>
    </w:p>
    <w:p w14:paraId="2A9D0801" w14:textId="01FFDA55" w:rsidR="00C20A74" w:rsidRDefault="00854B93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87C2E" w:rsidRPr="00271630">
        <w:rPr>
          <w:rFonts w:ascii="Arial" w:hAnsi="Arial" w:cs="Arial"/>
          <w:sz w:val="24"/>
          <w:szCs w:val="24"/>
        </w:rPr>
        <w:t>250</w:t>
      </w:r>
      <w:r w:rsidRPr="00271630">
        <w:rPr>
          <w:rFonts w:ascii="Arial" w:hAnsi="Arial" w:cs="Arial"/>
          <w:sz w:val="24"/>
          <w:szCs w:val="24"/>
        </w:rPr>
        <w:t>.000,01 – 500.000,00;</w:t>
      </w:r>
      <w:r w:rsidR="00211CDC">
        <w:rPr>
          <w:rFonts w:ascii="Arial" w:hAnsi="Arial" w:cs="Arial"/>
          <w:sz w:val="24"/>
          <w:szCs w:val="24"/>
        </w:rPr>
        <w:t xml:space="preserve"> </w:t>
      </w:r>
    </w:p>
    <w:p w14:paraId="18B46FD4" w14:textId="6CA36DA5" w:rsidR="00D148B3" w:rsidRPr="00CC161D" w:rsidRDefault="00211CD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</w:pPr>
      <w:r w:rsidRPr="00271630">
        <w:rPr>
          <w:rFonts w:ascii="Arial" w:hAnsi="Arial" w:cs="Arial"/>
          <w:sz w:val="24"/>
          <w:szCs w:val="24"/>
        </w:rPr>
        <w:lastRenderedPageBreak/>
        <w:t>500.000,01 – 750.000,00;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C257282" w14:textId="48D6EE8B" w:rsidR="00A12603" w:rsidRPr="006D79F7" w:rsidRDefault="008F338A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>750.000,0</w:t>
      </w:r>
      <w:r w:rsidR="00367332" w:rsidRPr="00271630">
        <w:rPr>
          <w:rFonts w:ascii="Arial" w:hAnsi="Arial" w:cs="Arial"/>
          <w:sz w:val="24"/>
          <w:szCs w:val="24"/>
        </w:rPr>
        <w:t>1</w:t>
      </w:r>
      <w:r w:rsidRPr="00271630">
        <w:rPr>
          <w:rFonts w:ascii="Arial" w:hAnsi="Arial" w:cs="Arial"/>
          <w:sz w:val="24"/>
          <w:szCs w:val="24"/>
        </w:rPr>
        <w:t xml:space="preserve"> – 1 milhão.</w:t>
      </w:r>
    </w:p>
    <w:p w14:paraId="4AF7A69C" w14:textId="0EF01E69" w:rsidR="00C04732" w:rsidRPr="0061257D" w:rsidRDefault="0061257D" w:rsidP="008E099D">
      <w:pPr>
        <w:pStyle w:val="Estilo1"/>
        <w:numPr>
          <w:ilvl w:val="2"/>
          <w:numId w:val="13"/>
        </w:numPr>
        <w:rPr>
          <w:b w:val="0"/>
        </w:rPr>
      </w:pPr>
      <w:bookmarkStart w:id="91" w:name="_Toc159511181"/>
      <w:bookmarkStart w:id="92" w:name="_Toc159927057"/>
      <w:r w:rsidRPr="0061257D">
        <w:t>Premissas</w:t>
      </w:r>
      <w:bookmarkEnd w:id="91"/>
      <w:bookmarkEnd w:id="92"/>
    </w:p>
    <w:p w14:paraId="27C68DCD" w14:textId="77777777" w:rsidR="00AF130A" w:rsidRDefault="00C04732" w:rsidP="0061257D">
      <w:pPr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  <w:r w:rsidRPr="00420688">
        <w:rPr>
          <w:rFonts w:ascii="Arial" w:hAnsi="Arial" w:cs="Arial"/>
          <w:sz w:val="24"/>
          <w:szCs w:val="24"/>
        </w:rPr>
        <w:t>Neste grupo serão consideradas as premissas padronizadas, mencionadas anteriormente.</w:t>
      </w:r>
    </w:p>
    <w:p w14:paraId="4F8A1323" w14:textId="7AFDF48A" w:rsidR="004432F8" w:rsidRPr="008E099D" w:rsidRDefault="00EF1206" w:rsidP="008E099D">
      <w:pPr>
        <w:pStyle w:val="Estilo1"/>
        <w:numPr>
          <w:ilvl w:val="2"/>
          <w:numId w:val="13"/>
        </w:numPr>
        <w:rPr>
          <w:i/>
        </w:rPr>
      </w:pPr>
      <w:bookmarkStart w:id="93" w:name="_Toc159511182"/>
      <w:bookmarkStart w:id="94" w:name="_Toc159927058"/>
      <w:proofErr w:type="spellStart"/>
      <w:r w:rsidRPr="008E099D">
        <w:rPr>
          <w:i/>
        </w:rPr>
        <w:t>Disclaimer</w:t>
      </w:r>
      <w:bookmarkEnd w:id="93"/>
      <w:bookmarkEnd w:id="94"/>
      <w:proofErr w:type="spellEnd"/>
    </w:p>
    <w:p w14:paraId="1F0C92EC" w14:textId="5D31E62C" w:rsidR="004432F8" w:rsidRDefault="004432F8" w:rsidP="00F17372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271630">
        <w:rPr>
          <w:rFonts w:ascii="Arial" w:hAnsi="Arial" w:cs="Arial"/>
          <w:i/>
          <w:sz w:val="24"/>
          <w:szCs w:val="24"/>
        </w:rPr>
        <w:t>disclaimers</w:t>
      </w:r>
      <w:proofErr w:type="spellEnd"/>
      <w:r w:rsidRPr="00271630">
        <w:rPr>
          <w:rFonts w:ascii="Arial" w:hAnsi="Arial" w:cs="Arial"/>
          <w:sz w:val="24"/>
          <w:szCs w:val="24"/>
        </w:rPr>
        <w:t xml:space="preserve"> padronizados, mencionados anteriormente.</w:t>
      </w:r>
    </w:p>
    <w:p w14:paraId="3BEB0227" w14:textId="7EFAB09F" w:rsidR="0061257D" w:rsidRPr="0061257D" w:rsidRDefault="0061257D" w:rsidP="008E099D">
      <w:pPr>
        <w:pStyle w:val="Estilo1"/>
        <w:numPr>
          <w:ilvl w:val="2"/>
          <w:numId w:val="13"/>
        </w:numPr>
        <w:rPr>
          <w:b w:val="0"/>
        </w:rPr>
      </w:pPr>
      <w:bookmarkStart w:id="95" w:name="_Toc159511183"/>
      <w:bookmarkStart w:id="96" w:name="_Toc159927059"/>
      <w:r w:rsidRPr="0061257D">
        <w:t>Coberturas</w:t>
      </w:r>
      <w:bookmarkEnd w:id="95"/>
      <w:bookmarkEnd w:id="96"/>
    </w:p>
    <w:p w14:paraId="2A06529D" w14:textId="3F577BBA" w:rsidR="005162CE" w:rsidRPr="008E099D" w:rsidRDefault="006479A3" w:rsidP="008E099D">
      <w:pPr>
        <w:spacing w:line="360" w:lineRule="auto"/>
        <w:ind w:left="284" w:firstLine="709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</w:t>
      </w:r>
      <w:r w:rsidR="00C002A3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com características de </w:t>
      </w:r>
      <w:r w:rsidR="00677D7C" w:rsidRPr="00765FD4">
        <w:rPr>
          <w:rFonts w:ascii="Arial" w:hAnsi="Arial" w:cs="Arial"/>
          <w:sz w:val="24"/>
          <w:szCs w:val="24"/>
        </w:rPr>
        <w:t xml:space="preserve">no mínimo </w:t>
      </w:r>
      <w:r w:rsidR="00F27FBF" w:rsidRPr="00765FD4">
        <w:rPr>
          <w:rFonts w:ascii="Arial" w:hAnsi="Arial" w:cs="Arial"/>
          <w:sz w:val="24"/>
          <w:szCs w:val="24"/>
        </w:rPr>
        <w:t xml:space="preserve">a </w:t>
      </w:r>
      <w:r w:rsidR="00C002A3" w:rsidRPr="00765FD4">
        <w:rPr>
          <w:rFonts w:ascii="Arial" w:hAnsi="Arial" w:cs="Arial"/>
          <w:sz w:val="24"/>
          <w:szCs w:val="24"/>
        </w:rPr>
        <w:t>cobertura de danos a terceiros</w:t>
      </w:r>
      <w:r w:rsidR="00D00A7C">
        <w:rPr>
          <w:rFonts w:ascii="Arial" w:hAnsi="Arial" w:cs="Arial"/>
          <w:sz w:val="24"/>
          <w:szCs w:val="24"/>
        </w:rPr>
        <w:t>.</w:t>
      </w:r>
    </w:p>
    <w:p w14:paraId="7079F6A6" w14:textId="77777777" w:rsidR="006479A3" w:rsidRDefault="006479A3" w:rsidP="005162CE">
      <w:pPr>
        <w:tabs>
          <w:tab w:val="left" w:pos="5383"/>
        </w:tabs>
      </w:pPr>
    </w:p>
    <w:p w14:paraId="39499E1A" w14:textId="77777777" w:rsidR="00A3696E" w:rsidRPr="006D79F7" w:rsidRDefault="00A3696E" w:rsidP="005162CE">
      <w:pPr>
        <w:tabs>
          <w:tab w:val="left" w:pos="5383"/>
        </w:tabs>
      </w:pPr>
    </w:p>
    <w:p w14:paraId="3035CC86" w14:textId="177C87D1" w:rsidR="00EB3DEF" w:rsidRDefault="004A47F0" w:rsidP="008E099D">
      <w:pPr>
        <w:pStyle w:val="Estilo1"/>
        <w:numPr>
          <w:ilvl w:val="1"/>
          <w:numId w:val="13"/>
        </w:numPr>
      </w:pPr>
      <w:bookmarkStart w:id="97" w:name="_Toc159511185"/>
      <w:bookmarkStart w:id="98" w:name="_Toc159927060"/>
      <w:r w:rsidRPr="006D79F7">
        <w:t xml:space="preserve">Seguro de Fiança </w:t>
      </w:r>
      <w:r w:rsidR="0016675C" w:rsidRPr="006D79F7">
        <w:t>Locatícia</w:t>
      </w:r>
      <w:bookmarkEnd w:id="97"/>
      <w:bookmarkEnd w:id="98"/>
      <w:r w:rsidR="00F730AC" w:rsidRPr="006D79F7">
        <w:t xml:space="preserve"> </w:t>
      </w:r>
    </w:p>
    <w:p w14:paraId="30C99C21" w14:textId="076E2FC2" w:rsidR="007940B8" w:rsidRPr="00EB3DEF" w:rsidRDefault="00EB3DEF" w:rsidP="008E099D">
      <w:pPr>
        <w:pStyle w:val="Estilo1"/>
        <w:numPr>
          <w:ilvl w:val="2"/>
          <w:numId w:val="13"/>
        </w:numPr>
        <w:rPr>
          <w:b w:val="0"/>
          <w:color w:val="FF0000"/>
        </w:rPr>
      </w:pPr>
      <w:bookmarkStart w:id="99" w:name="_Toc159511186"/>
      <w:bookmarkStart w:id="100" w:name="_Toc159927061"/>
      <w:r w:rsidRPr="00EB3DEF">
        <w:t>Metodologia</w:t>
      </w:r>
      <w:bookmarkEnd w:id="99"/>
      <w:bookmarkEnd w:id="100"/>
    </w:p>
    <w:p w14:paraId="6C983039" w14:textId="145781EB" w:rsidR="007940B8" w:rsidRPr="006D79F7" w:rsidRDefault="007940B8" w:rsidP="006909E8">
      <w:pPr>
        <w:spacing w:line="360" w:lineRule="auto"/>
        <w:ind w:left="284" w:firstLine="708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A proposta é que o </w:t>
      </w:r>
      <w:r w:rsidR="00E77F0C" w:rsidRPr="00765FD4">
        <w:rPr>
          <w:rFonts w:ascii="Arial" w:hAnsi="Arial" w:cs="Arial"/>
          <w:sz w:val="24"/>
          <w:szCs w:val="24"/>
        </w:rPr>
        <w:t xml:space="preserve">produto de Fiança Locatícia </w:t>
      </w:r>
      <w:r w:rsidRPr="00765FD4">
        <w:rPr>
          <w:rFonts w:ascii="Arial" w:hAnsi="Arial" w:cs="Arial"/>
          <w:sz w:val="24"/>
          <w:szCs w:val="24"/>
        </w:rPr>
        <w:t>siga a metodologia padrão apresentada,</w:t>
      </w:r>
      <w:r w:rsidR="004120BD">
        <w:rPr>
          <w:rFonts w:ascii="Arial" w:hAnsi="Arial" w:cs="Arial"/>
          <w:sz w:val="24"/>
          <w:szCs w:val="24"/>
        </w:rPr>
        <w:t xml:space="preserve"> </w:t>
      </w:r>
      <w:r w:rsidR="004120BD" w:rsidRPr="00271630">
        <w:rPr>
          <w:rFonts w:ascii="Arial" w:hAnsi="Arial" w:cs="Arial"/>
          <w:sz w:val="24"/>
          <w:szCs w:val="24"/>
        </w:rPr>
        <w:t xml:space="preserve">exceto que para este produto não </w:t>
      </w:r>
      <w:r w:rsidR="009B19C2" w:rsidRPr="00271630">
        <w:rPr>
          <w:rFonts w:ascii="Arial" w:hAnsi="Arial" w:cs="Arial"/>
          <w:sz w:val="24"/>
          <w:szCs w:val="24"/>
        </w:rPr>
        <w:t>será</w:t>
      </w:r>
      <w:r w:rsidR="004120BD" w:rsidRPr="00271630">
        <w:rPr>
          <w:rFonts w:ascii="Arial" w:hAnsi="Arial" w:cs="Arial"/>
          <w:sz w:val="24"/>
          <w:szCs w:val="24"/>
        </w:rPr>
        <w:t xml:space="preserve"> considerado o valor do prêmi</w:t>
      </w:r>
      <w:r w:rsidR="009B19C2" w:rsidRPr="00271630">
        <w:rPr>
          <w:rFonts w:ascii="Arial" w:hAnsi="Arial" w:cs="Arial"/>
          <w:sz w:val="24"/>
          <w:szCs w:val="24"/>
        </w:rPr>
        <w:t>o</w:t>
      </w:r>
      <w:r w:rsidR="004120BD" w:rsidRPr="00271630">
        <w:rPr>
          <w:rFonts w:ascii="Arial" w:hAnsi="Arial" w:cs="Arial"/>
          <w:sz w:val="24"/>
          <w:szCs w:val="24"/>
        </w:rPr>
        <w:t xml:space="preserve"> anua</w:t>
      </w:r>
      <w:r w:rsidR="009B19C2" w:rsidRPr="00271630">
        <w:rPr>
          <w:rFonts w:ascii="Arial" w:hAnsi="Arial" w:cs="Arial"/>
          <w:sz w:val="24"/>
          <w:szCs w:val="24"/>
        </w:rPr>
        <w:t>lizado</w:t>
      </w:r>
      <w:r w:rsidR="004120BD" w:rsidRPr="00271630">
        <w:rPr>
          <w:rFonts w:ascii="Arial" w:hAnsi="Arial" w:cs="Arial"/>
          <w:sz w:val="24"/>
          <w:szCs w:val="24"/>
        </w:rPr>
        <w:t xml:space="preserve"> e sim, o</w:t>
      </w:r>
      <w:r w:rsidR="009B19C2" w:rsidRPr="00271630">
        <w:rPr>
          <w:rFonts w:ascii="Arial" w:hAnsi="Arial" w:cs="Arial"/>
          <w:sz w:val="24"/>
          <w:szCs w:val="24"/>
        </w:rPr>
        <w:t xml:space="preserve"> valor do</w:t>
      </w:r>
      <w:r w:rsidR="004120BD" w:rsidRPr="00271630">
        <w:rPr>
          <w:rFonts w:ascii="Arial" w:hAnsi="Arial" w:cs="Arial"/>
          <w:sz w:val="24"/>
          <w:szCs w:val="24"/>
        </w:rPr>
        <w:t xml:space="preserve"> prêmio da apólice</w:t>
      </w:r>
      <w:r w:rsidR="009B19C2" w:rsidRPr="00271630">
        <w:rPr>
          <w:rFonts w:ascii="Arial" w:hAnsi="Arial" w:cs="Arial"/>
          <w:sz w:val="24"/>
          <w:szCs w:val="24"/>
        </w:rPr>
        <w:t>. Será levado</w:t>
      </w:r>
      <w:r w:rsidRPr="00765FD4" w:rsidDel="009B19C2">
        <w:rPr>
          <w:rFonts w:ascii="Arial" w:hAnsi="Arial" w:cs="Arial"/>
          <w:sz w:val="24"/>
          <w:szCs w:val="24"/>
        </w:rPr>
        <w:t xml:space="preserve"> </w:t>
      </w:r>
      <w:r w:rsidRPr="00765FD4">
        <w:rPr>
          <w:rFonts w:ascii="Arial" w:hAnsi="Arial" w:cs="Arial"/>
          <w:sz w:val="24"/>
          <w:szCs w:val="24"/>
        </w:rPr>
        <w:t xml:space="preserve">em consideração as seguintes faixas de </w:t>
      </w:r>
      <w:r w:rsidR="00F61793" w:rsidRPr="00271630">
        <w:rPr>
          <w:rFonts w:ascii="Arial" w:hAnsi="Arial" w:cs="Arial"/>
          <w:sz w:val="24"/>
          <w:szCs w:val="24"/>
        </w:rPr>
        <w:t>acordo co</w:t>
      </w:r>
      <w:r w:rsidR="00197308" w:rsidRPr="00271630">
        <w:rPr>
          <w:rFonts w:ascii="Arial" w:hAnsi="Arial" w:cs="Arial"/>
          <w:sz w:val="24"/>
          <w:szCs w:val="24"/>
        </w:rPr>
        <w:t>m</w:t>
      </w:r>
      <w:r w:rsidR="00F61793" w:rsidRPr="00271630">
        <w:rPr>
          <w:rFonts w:ascii="Arial" w:hAnsi="Arial" w:cs="Arial"/>
          <w:sz w:val="24"/>
          <w:szCs w:val="24"/>
        </w:rPr>
        <w:t xml:space="preserve"> o aluguel:</w:t>
      </w:r>
    </w:p>
    <w:p w14:paraId="155449C6" w14:textId="24E4A3AC" w:rsidR="00B8559F" w:rsidRPr="00271630" w:rsidRDefault="0055378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71630">
        <w:rPr>
          <w:rFonts w:ascii="Arial" w:hAnsi="Arial" w:cs="Arial"/>
          <w:sz w:val="24"/>
          <w:szCs w:val="24"/>
        </w:rPr>
        <w:t>0 – 2.500,00;</w:t>
      </w:r>
    </w:p>
    <w:p w14:paraId="5D9EEED2" w14:textId="4AEDFF80" w:rsidR="00B8559F" w:rsidRPr="00271630" w:rsidRDefault="0055378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71630">
        <w:rPr>
          <w:rFonts w:ascii="Arial" w:hAnsi="Arial" w:cs="Arial"/>
          <w:sz w:val="24"/>
          <w:szCs w:val="24"/>
        </w:rPr>
        <w:t>2.500,01 – 5.000,00;</w:t>
      </w:r>
    </w:p>
    <w:p w14:paraId="353CC97A" w14:textId="57CD8709" w:rsidR="00B8559F" w:rsidRPr="00271630" w:rsidRDefault="0055378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71630">
        <w:rPr>
          <w:rFonts w:ascii="Arial" w:hAnsi="Arial" w:cs="Arial"/>
          <w:sz w:val="24"/>
          <w:szCs w:val="24"/>
        </w:rPr>
        <w:t>5.000,01 – 7.500,00;</w:t>
      </w:r>
    </w:p>
    <w:p w14:paraId="35045A46" w14:textId="141DAC29" w:rsidR="007940B8" w:rsidRPr="006D79F7" w:rsidRDefault="00553787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271630">
        <w:rPr>
          <w:rFonts w:ascii="Arial" w:hAnsi="Arial" w:cs="Arial"/>
          <w:sz w:val="24"/>
          <w:szCs w:val="24"/>
        </w:rPr>
        <w:t>7.500,01 – 10.000,00.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F53C580" w14:textId="5D0B867A" w:rsidR="00B8559F" w:rsidRPr="006909E8" w:rsidRDefault="006909E8" w:rsidP="008E099D">
      <w:pPr>
        <w:pStyle w:val="Estilo1"/>
        <w:numPr>
          <w:ilvl w:val="2"/>
          <w:numId w:val="13"/>
        </w:numPr>
        <w:rPr>
          <w:b w:val="0"/>
        </w:rPr>
      </w:pPr>
      <w:bookmarkStart w:id="101" w:name="_Toc159511187"/>
      <w:bookmarkStart w:id="102" w:name="_Toc159927062"/>
      <w:r w:rsidRPr="006909E8">
        <w:t>Premissas</w:t>
      </w:r>
      <w:bookmarkEnd w:id="101"/>
      <w:bookmarkEnd w:id="102"/>
    </w:p>
    <w:p w14:paraId="087BBFD5" w14:textId="51624C94" w:rsidR="006F5463" w:rsidRDefault="007940B8" w:rsidP="00F02761">
      <w:pPr>
        <w:pStyle w:val="PargrafodaLista"/>
        <w:spacing w:line="360" w:lineRule="auto"/>
        <w:ind w:left="284" w:firstLine="696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Neste grupo serão consideradas as premissas padronizadas mencionadas anteriormente</w:t>
      </w:r>
      <w:r w:rsidR="00BD18A4" w:rsidRPr="00271630">
        <w:rPr>
          <w:rFonts w:ascii="Arial" w:hAnsi="Arial" w:cs="Arial"/>
          <w:sz w:val="24"/>
          <w:szCs w:val="24"/>
        </w:rPr>
        <w:t xml:space="preserve">, </w:t>
      </w:r>
      <w:r w:rsidR="00F02761" w:rsidRPr="00271630">
        <w:rPr>
          <w:rFonts w:ascii="Arial" w:hAnsi="Arial" w:cs="Arial"/>
          <w:sz w:val="24"/>
          <w:szCs w:val="24"/>
        </w:rPr>
        <w:t>com o acréscimo da seguinte:</w:t>
      </w:r>
    </w:p>
    <w:p w14:paraId="0E4E9026" w14:textId="664F845E" w:rsidR="006F7818" w:rsidRPr="00271630" w:rsidRDefault="001B3CDD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>Esta informação será reportada somente para produtos de Pessoas Físicas</w:t>
      </w:r>
    </w:p>
    <w:p w14:paraId="3349B0EF" w14:textId="7A748863" w:rsidR="001B3CDD" w:rsidRPr="00271630" w:rsidRDefault="006F7818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O valor do aluguel é </w:t>
      </w:r>
      <w:r w:rsidR="005C472E" w:rsidRPr="00271630">
        <w:rPr>
          <w:rFonts w:ascii="Arial" w:hAnsi="Arial" w:cs="Arial"/>
          <w:sz w:val="24"/>
          <w:szCs w:val="24"/>
        </w:rPr>
        <w:t>o</w:t>
      </w:r>
      <w:r w:rsidRPr="00271630">
        <w:rPr>
          <w:rFonts w:ascii="Arial" w:hAnsi="Arial" w:cs="Arial"/>
          <w:sz w:val="24"/>
          <w:szCs w:val="24"/>
        </w:rPr>
        <w:t xml:space="preserve"> parâmetro de composição das faixas, mas os valores de prêmios referem-se as coberturas normalmente </w:t>
      </w:r>
      <w:r w:rsidRPr="00271630">
        <w:rPr>
          <w:rFonts w:ascii="Arial" w:hAnsi="Arial" w:cs="Arial"/>
          <w:sz w:val="24"/>
          <w:szCs w:val="24"/>
        </w:rPr>
        <w:lastRenderedPageBreak/>
        <w:t>contratadas além do aluguel, tais como: danos ao imóvel, IPTU, taxas, cotas condominiais e entre outras</w:t>
      </w:r>
      <w:r w:rsidR="007258A5" w:rsidRPr="00271630">
        <w:rPr>
          <w:rFonts w:ascii="Arial" w:hAnsi="Arial" w:cs="Arial"/>
          <w:sz w:val="24"/>
          <w:szCs w:val="24"/>
          <w:vertAlign w:val="superscript"/>
        </w:rPr>
        <w:t>2</w:t>
      </w:r>
      <w:r w:rsidRPr="00271630">
        <w:rPr>
          <w:rFonts w:ascii="Arial" w:hAnsi="Arial" w:cs="Arial"/>
          <w:sz w:val="24"/>
          <w:szCs w:val="24"/>
        </w:rPr>
        <w:t>.</w:t>
      </w:r>
    </w:p>
    <w:p w14:paraId="5E755399" w14:textId="388A4783" w:rsidR="0018415B" w:rsidRPr="00271630" w:rsidRDefault="00815659" w:rsidP="008E099D">
      <w:pPr>
        <w:pStyle w:val="Estilo1"/>
        <w:numPr>
          <w:ilvl w:val="2"/>
          <w:numId w:val="13"/>
        </w:numPr>
        <w:rPr>
          <w:b w:val="0"/>
          <w:i/>
        </w:rPr>
      </w:pPr>
      <w:bookmarkStart w:id="103" w:name="_Toc159511188"/>
      <w:bookmarkStart w:id="104" w:name="_Toc159927063"/>
      <w:proofErr w:type="spellStart"/>
      <w:r w:rsidRPr="008E099D">
        <w:rPr>
          <w:i/>
        </w:rPr>
        <w:t>Disclaimer</w:t>
      </w:r>
      <w:bookmarkEnd w:id="103"/>
      <w:bookmarkEnd w:id="104"/>
      <w:proofErr w:type="spellEnd"/>
    </w:p>
    <w:p w14:paraId="2E1A8591" w14:textId="3C629ED4" w:rsidR="00815659" w:rsidRDefault="001030E9" w:rsidP="001030E9">
      <w:pPr>
        <w:pStyle w:val="PargrafodaLista"/>
        <w:spacing w:line="360" w:lineRule="auto"/>
        <w:ind w:left="284" w:firstLine="696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271630">
        <w:rPr>
          <w:rFonts w:ascii="Arial" w:hAnsi="Arial" w:cs="Arial"/>
          <w:i/>
          <w:sz w:val="24"/>
          <w:szCs w:val="24"/>
        </w:rPr>
        <w:t>disclaimers</w:t>
      </w:r>
      <w:proofErr w:type="spellEnd"/>
      <w:r w:rsidRPr="00271630">
        <w:rPr>
          <w:rFonts w:ascii="Arial" w:hAnsi="Arial" w:cs="Arial"/>
          <w:sz w:val="24"/>
          <w:szCs w:val="24"/>
        </w:rPr>
        <w:t xml:space="preserve"> padronizados, mencionados anteriormente, com o acréscimo do seguinte:</w:t>
      </w:r>
    </w:p>
    <w:p w14:paraId="5798A735" w14:textId="49E63FAD" w:rsidR="001030E9" w:rsidRPr="00FF182B" w:rsidRDefault="00E87988">
      <w:pPr>
        <w:pStyle w:val="PargrafodaLista"/>
        <w:numPr>
          <w:ilvl w:val="0"/>
          <w:numId w:val="12"/>
        </w:numPr>
        <w:spacing w:line="360" w:lineRule="auto"/>
        <w:jc w:val="both"/>
      </w:pPr>
      <w:r w:rsidRPr="00271630">
        <w:rPr>
          <w:rFonts w:ascii="Arial" w:hAnsi="Arial" w:cs="Arial"/>
          <w:sz w:val="24"/>
          <w:szCs w:val="24"/>
        </w:rPr>
        <w:t xml:space="preserve">O valor </w:t>
      </w:r>
      <w:r w:rsidR="00794ABE" w:rsidRPr="00271630">
        <w:rPr>
          <w:rFonts w:ascii="Arial" w:hAnsi="Arial" w:cs="Arial"/>
          <w:sz w:val="24"/>
          <w:szCs w:val="24"/>
        </w:rPr>
        <w:t>do prêmio reflete os valores pagos pel</w:t>
      </w:r>
      <w:r w:rsidR="00AD7CAB" w:rsidRPr="00271630">
        <w:rPr>
          <w:rFonts w:ascii="Arial" w:hAnsi="Arial" w:cs="Arial"/>
          <w:sz w:val="24"/>
          <w:szCs w:val="24"/>
        </w:rPr>
        <w:t>as partes contrata</w:t>
      </w:r>
      <w:r w:rsidR="007735AB" w:rsidRPr="00271630">
        <w:rPr>
          <w:rFonts w:ascii="Arial" w:hAnsi="Arial" w:cs="Arial"/>
          <w:sz w:val="24"/>
          <w:szCs w:val="24"/>
        </w:rPr>
        <w:t>ntes</w:t>
      </w:r>
      <w:r w:rsidR="00391615" w:rsidRPr="00271630">
        <w:rPr>
          <w:rFonts w:ascii="Arial" w:hAnsi="Arial" w:cs="Arial"/>
          <w:sz w:val="24"/>
          <w:szCs w:val="24"/>
        </w:rPr>
        <w:t xml:space="preserve">, </w:t>
      </w:r>
      <w:r w:rsidR="00962A22" w:rsidRPr="00271630">
        <w:rPr>
          <w:rFonts w:ascii="Arial" w:hAnsi="Arial" w:cs="Arial"/>
          <w:sz w:val="24"/>
          <w:szCs w:val="24"/>
        </w:rPr>
        <w:t xml:space="preserve">logo, podem conter as coberturas </w:t>
      </w:r>
      <w:r w:rsidR="00501D2C" w:rsidRPr="00271630">
        <w:rPr>
          <w:rFonts w:ascii="Arial" w:hAnsi="Arial" w:cs="Arial"/>
          <w:sz w:val="24"/>
          <w:szCs w:val="24"/>
        </w:rPr>
        <w:t>adicionais</w:t>
      </w:r>
      <w:r w:rsidR="007735AB" w:rsidRPr="00271630">
        <w:rPr>
          <w:rFonts w:ascii="Arial" w:hAnsi="Arial" w:cs="Arial"/>
          <w:sz w:val="24"/>
          <w:szCs w:val="24"/>
        </w:rPr>
        <w:t>.</w:t>
      </w:r>
    </w:p>
    <w:p w14:paraId="29477562" w14:textId="008A413E" w:rsidR="00A36D68" w:rsidRPr="0018415B" w:rsidRDefault="00815659" w:rsidP="008E099D">
      <w:pPr>
        <w:pStyle w:val="Estilo1"/>
        <w:numPr>
          <w:ilvl w:val="2"/>
          <w:numId w:val="13"/>
        </w:numPr>
        <w:rPr>
          <w:b w:val="0"/>
        </w:rPr>
      </w:pPr>
      <w:bookmarkStart w:id="105" w:name="_Toc159511189"/>
      <w:bookmarkStart w:id="106" w:name="_Toc159927064"/>
      <w:r>
        <w:t>Coberturas</w:t>
      </w:r>
      <w:bookmarkEnd w:id="105"/>
      <w:bookmarkEnd w:id="106"/>
    </w:p>
    <w:p w14:paraId="70E5F8EF" w14:textId="7C1FC30C" w:rsidR="006479A3" w:rsidRPr="008E099D" w:rsidRDefault="006479A3" w:rsidP="008E099D">
      <w:pPr>
        <w:pStyle w:val="PargrafodaLista"/>
        <w:spacing w:line="360" w:lineRule="auto"/>
        <w:ind w:left="284" w:firstLine="696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861E6E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com a cobertura de </w:t>
      </w:r>
      <w:r w:rsidR="00785AA0" w:rsidRPr="00765FD4">
        <w:rPr>
          <w:rFonts w:ascii="Arial" w:hAnsi="Arial" w:cs="Arial"/>
          <w:sz w:val="24"/>
          <w:szCs w:val="24"/>
        </w:rPr>
        <w:t>no mínimo</w:t>
      </w:r>
      <w:r w:rsidR="00861E6E" w:rsidRPr="00765FD4">
        <w:rPr>
          <w:rFonts w:ascii="Arial" w:hAnsi="Arial" w:cs="Arial"/>
          <w:sz w:val="24"/>
          <w:szCs w:val="24"/>
        </w:rPr>
        <w:t xml:space="preserve"> "</w:t>
      </w:r>
      <w:r w:rsidR="00962F7F" w:rsidRPr="00765FD4">
        <w:rPr>
          <w:rFonts w:ascii="Arial" w:hAnsi="Arial" w:cs="Arial"/>
          <w:sz w:val="24"/>
          <w:szCs w:val="24"/>
        </w:rPr>
        <w:t>n</w:t>
      </w:r>
      <w:r w:rsidR="005E29C0" w:rsidRPr="00765FD4">
        <w:rPr>
          <w:rFonts w:ascii="Arial" w:hAnsi="Arial" w:cs="Arial"/>
          <w:sz w:val="24"/>
          <w:szCs w:val="24"/>
        </w:rPr>
        <w:t xml:space="preserve">ão </w:t>
      </w:r>
      <w:r w:rsidR="00962F7F" w:rsidRPr="00765FD4">
        <w:rPr>
          <w:rFonts w:ascii="Arial" w:hAnsi="Arial" w:cs="Arial"/>
          <w:sz w:val="24"/>
          <w:szCs w:val="24"/>
        </w:rPr>
        <w:t>p</w:t>
      </w:r>
      <w:r w:rsidR="005E29C0" w:rsidRPr="00765FD4">
        <w:rPr>
          <w:rFonts w:ascii="Arial" w:hAnsi="Arial" w:cs="Arial"/>
          <w:sz w:val="24"/>
          <w:szCs w:val="24"/>
        </w:rPr>
        <w:t xml:space="preserve">agamento de </w:t>
      </w:r>
      <w:r w:rsidR="00962F7F" w:rsidRPr="00765FD4">
        <w:rPr>
          <w:rFonts w:ascii="Arial" w:hAnsi="Arial" w:cs="Arial"/>
          <w:sz w:val="24"/>
          <w:szCs w:val="24"/>
        </w:rPr>
        <w:t>a</w:t>
      </w:r>
      <w:r w:rsidR="005E29C0" w:rsidRPr="00765FD4">
        <w:rPr>
          <w:rFonts w:ascii="Arial" w:hAnsi="Arial" w:cs="Arial"/>
          <w:sz w:val="24"/>
          <w:szCs w:val="24"/>
        </w:rPr>
        <w:t>luguel</w:t>
      </w:r>
      <w:r w:rsidR="00861E6E" w:rsidRPr="00765FD4">
        <w:rPr>
          <w:rFonts w:ascii="Arial" w:hAnsi="Arial" w:cs="Arial"/>
          <w:sz w:val="24"/>
          <w:szCs w:val="24"/>
        </w:rPr>
        <w:t>”</w:t>
      </w:r>
      <w:r w:rsidR="0051203D">
        <w:rPr>
          <w:rFonts w:ascii="Arial" w:hAnsi="Arial" w:cs="Arial"/>
          <w:sz w:val="24"/>
          <w:szCs w:val="24"/>
        </w:rPr>
        <w:t>.</w:t>
      </w:r>
      <w:r w:rsidR="00861E6E" w:rsidRPr="00765FD4">
        <w:rPr>
          <w:rFonts w:ascii="Arial" w:hAnsi="Arial" w:cs="Arial"/>
          <w:sz w:val="24"/>
          <w:szCs w:val="24"/>
        </w:rPr>
        <w:t xml:space="preserve"> </w:t>
      </w:r>
    </w:p>
    <w:p w14:paraId="20D1750E" w14:textId="77777777" w:rsidR="003B35C7" w:rsidRDefault="003B35C7" w:rsidP="00D43909"/>
    <w:p w14:paraId="22537AB2" w14:textId="77777777" w:rsidR="00A3696E" w:rsidRPr="006D79F7" w:rsidRDefault="00A3696E" w:rsidP="00D43909"/>
    <w:p w14:paraId="643B4DA1" w14:textId="685E7B41" w:rsidR="008116BB" w:rsidRDefault="008A5BA4" w:rsidP="008E099D">
      <w:pPr>
        <w:pStyle w:val="Estilo1"/>
        <w:numPr>
          <w:ilvl w:val="1"/>
          <w:numId w:val="13"/>
        </w:numPr>
      </w:pPr>
      <w:bookmarkStart w:id="107" w:name="_Toc159511196"/>
      <w:bookmarkStart w:id="108" w:name="_Toc159927065"/>
      <w:r w:rsidRPr="006D79F7">
        <w:t>Grupo Habitacional</w:t>
      </w:r>
      <w:bookmarkEnd w:id="107"/>
      <w:bookmarkEnd w:id="108"/>
      <w:r w:rsidR="007C66D0" w:rsidRPr="006D79F7">
        <w:t xml:space="preserve"> </w:t>
      </w:r>
    </w:p>
    <w:p w14:paraId="64070133" w14:textId="7E97DEAD" w:rsidR="008116BB" w:rsidRPr="00F17372" w:rsidRDefault="008116BB" w:rsidP="008E099D">
      <w:pPr>
        <w:pStyle w:val="Estilo1"/>
        <w:numPr>
          <w:ilvl w:val="2"/>
          <w:numId w:val="13"/>
        </w:numPr>
      </w:pPr>
      <w:bookmarkStart w:id="109" w:name="_Toc159511197"/>
      <w:bookmarkStart w:id="110" w:name="_Toc159927066"/>
      <w:r w:rsidRPr="00180405">
        <w:t>Metodologia</w:t>
      </w:r>
      <w:bookmarkEnd w:id="109"/>
      <w:bookmarkEnd w:id="110"/>
    </w:p>
    <w:p w14:paraId="4C66211A" w14:textId="359D0649" w:rsidR="00F56603" w:rsidRPr="006D79F7" w:rsidRDefault="00301A4E" w:rsidP="008116BB">
      <w:pPr>
        <w:spacing w:line="360" w:lineRule="auto"/>
        <w:ind w:left="284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A proposta é que o grupo de Habitacional siga a metodologia padrão apresentada</w:t>
      </w:r>
      <w:r w:rsidR="00F56603" w:rsidRPr="006D79F7">
        <w:rPr>
          <w:rFonts w:ascii="Arial" w:hAnsi="Arial" w:cs="Arial"/>
          <w:sz w:val="24"/>
          <w:szCs w:val="24"/>
        </w:rPr>
        <w:t xml:space="preserve"> exceto a referência</w:t>
      </w:r>
      <w:r w:rsidRPr="006D79F7">
        <w:rPr>
          <w:rFonts w:ascii="Arial" w:hAnsi="Arial" w:cs="Arial"/>
          <w:sz w:val="24"/>
          <w:szCs w:val="24"/>
        </w:rPr>
        <w:t xml:space="preserve"> </w:t>
      </w:r>
      <w:r w:rsidR="00F56603" w:rsidRPr="006D79F7">
        <w:rPr>
          <w:rFonts w:ascii="Arial" w:hAnsi="Arial" w:cs="Arial"/>
          <w:sz w:val="24"/>
          <w:szCs w:val="24"/>
        </w:rPr>
        <w:t xml:space="preserve">do </w:t>
      </w:r>
      <w:r w:rsidR="008B1CC2" w:rsidRPr="006D79F7">
        <w:rPr>
          <w:rFonts w:ascii="Arial" w:hAnsi="Arial" w:cs="Arial"/>
          <w:sz w:val="24"/>
          <w:szCs w:val="24"/>
        </w:rPr>
        <w:t xml:space="preserve">valor do </w:t>
      </w:r>
      <w:r w:rsidR="00F56603" w:rsidRPr="006D79F7">
        <w:rPr>
          <w:rFonts w:ascii="Arial" w:hAnsi="Arial" w:cs="Arial"/>
          <w:sz w:val="24"/>
          <w:szCs w:val="24"/>
        </w:rPr>
        <w:t>prêmio que será mensal</w:t>
      </w:r>
      <w:r w:rsidR="008B1CC2" w:rsidRPr="006D79F7">
        <w:rPr>
          <w:rFonts w:ascii="Arial" w:hAnsi="Arial" w:cs="Arial"/>
          <w:sz w:val="24"/>
          <w:szCs w:val="24"/>
        </w:rPr>
        <w:t xml:space="preserve"> ao invés de anual</w:t>
      </w:r>
      <w:r w:rsidR="00F56603" w:rsidRPr="006D79F7">
        <w:rPr>
          <w:rFonts w:ascii="Arial" w:hAnsi="Arial" w:cs="Arial"/>
          <w:sz w:val="24"/>
          <w:szCs w:val="24"/>
        </w:rPr>
        <w:t xml:space="preserve"> para este produt</w:t>
      </w:r>
      <w:r w:rsidR="000C3330" w:rsidRPr="006D79F7">
        <w:rPr>
          <w:rFonts w:ascii="Arial" w:hAnsi="Arial" w:cs="Arial"/>
          <w:sz w:val="24"/>
          <w:szCs w:val="24"/>
        </w:rPr>
        <w:t xml:space="preserve">o por conta do CESH (custo efetivo do seguro habitacional) que </w:t>
      </w:r>
      <w:r w:rsidR="000642F2" w:rsidRPr="006D79F7">
        <w:rPr>
          <w:rFonts w:ascii="Arial" w:hAnsi="Arial" w:cs="Arial"/>
          <w:sz w:val="24"/>
          <w:szCs w:val="24"/>
        </w:rPr>
        <w:t>torna obrigatório as seguradoras e agentes financeiros a informarem no contrato o valor de cada parcela mensal.</w:t>
      </w:r>
    </w:p>
    <w:p w14:paraId="6B890D88" w14:textId="151E0E20" w:rsidR="00301A4E" w:rsidRPr="006D79F7" w:rsidRDefault="000642F2" w:rsidP="008116BB">
      <w:pPr>
        <w:spacing w:line="360" w:lineRule="auto"/>
        <w:ind w:left="284" w:firstLine="784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Será levado</w:t>
      </w:r>
      <w:r w:rsidR="00301A4E" w:rsidRPr="006D79F7">
        <w:rPr>
          <w:rFonts w:ascii="Arial" w:hAnsi="Arial" w:cs="Arial"/>
          <w:sz w:val="24"/>
          <w:szCs w:val="24"/>
        </w:rPr>
        <w:t xml:space="preserve"> em consideração as seguintes faixas de LMI, que tiveram como referência as coberturas básicas:</w:t>
      </w:r>
    </w:p>
    <w:p w14:paraId="47EADCC9" w14:textId="77777777" w:rsidR="002034B6" w:rsidRPr="006D79F7" w:rsidRDefault="002034B6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0 – 200.000,00; </w:t>
      </w:r>
    </w:p>
    <w:p w14:paraId="5D357D85" w14:textId="77777777" w:rsidR="002034B6" w:rsidRPr="006D79F7" w:rsidRDefault="002034B6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200.000,01 – 400.000,00; </w:t>
      </w:r>
    </w:p>
    <w:p w14:paraId="44F3462F" w14:textId="77777777" w:rsidR="002034B6" w:rsidRPr="006D79F7" w:rsidRDefault="002034B6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400.000,01 – 600.000,00; </w:t>
      </w:r>
    </w:p>
    <w:p w14:paraId="363CC281" w14:textId="3437A9DB" w:rsidR="003E07CF" w:rsidRDefault="002034B6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600.000,01 – 1 milhão.</w:t>
      </w:r>
    </w:p>
    <w:p w14:paraId="6F4ED914" w14:textId="62094DDB" w:rsidR="00796960" w:rsidRPr="00796960" w:rsidRDefault="00796960" w:rsidP="008E099D">
      <w:pPr>
        <w:pStyle w:val="Estilo1"/>
        <w:numPr>
          <w:ilvl w:val="2"/>
          <w:numId w:val="13"/>
        </w:numPr>
        <w:rPr>
          <w:b w:val="0"/>
        </w:rPr>
      </w:pPr>
      <w:bookmarkStart w:id="111" w:name="_Toc159511198"/>
      <w:bookmarkStart w:id="112" w:name="_Toc159927067"/>
      <w:r w:rsidRPr="00796960">
        <w:t>Premissas</w:t>
      </w:r>
      <w:bookmarkEnd w:id="111"/>
      <w:bookmarkEnd w:id="112"/>
    </w:p>
    <w:p w14:paraId="3A6E50A5" w14:textId="283D9CBB" w:rsidR="00301A4E" w:rsidRDefault="00301A4E" w:rsidP="008116BB">
      <w:pPr>
        <w:spacing w:line="360" w:lineRule="auto"/>
        <w:ind w:left="284" w:firstLine="72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Neste grupo serão consideradas as premissas padronizadas, mencionadas anteriormente</w:t>
      </w:r>
      <w:r w:rsidR="00BD4033">
        <w:rPr>
          <w:rFonts w:ascii="Arial" w:hAnsi="Arial" w:cs="Arial"/>
          <w:sz w:val="24"/>
          <w:szCs w:val="24"/>
        </w:rPr>
        <w:t>,</w:t>
      </w:r>
      <w:r w:rsidR="008B7016" w:rsidRPr="006D79F7">
        <w:rPr>
          <w:rFonts w:ascii="Arial" w:hAnsi="Arial" w:cs="Arial"/>
          <w:sz w:val="24"/>
          <w:szCs w:val="24"/>
        </w:rPr>
        <w:t xml:space="preserve"> exceto</w:t>
      </w:r>
      <w:r w:rsidR="00F40850">
        <w:rPr>
          <w:rFonts w:ascii="Arial" w:hAnsi="Arial" w:cs="Arial"/>
          <w:sz w:val="24"/>
          <w:szCs w:val="24"/>
        </w:rPr>
        <w:t>:</w:t>
      </w:r>
    </w:p>
    <w:p w14:paraId="028BF2D3" w14:textId="2AD3FF39" w:rsidR="00F40850" w:rsidRDefault="00F40850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201676">
        <w:rPr>
          <w:rFonts w:ascii="Arial" w:hAnsi="Arial" w:cs="Arial"/>
          <w:sz w:val="24"/>
          <w:szCs w:val="24"/>
        </w:rPr>
        <w:t>A informação será reportada somente para produtos individuais</w:t>
      </w:r>
      <w:r>
        <w:rPr>
          <w:rFonts w:ascii="Arial" w:hAnsi="Arial" w:cs="Arial"/>
          <w:sz w:val="24"/>
          <w:szCs w:val="24"/>
        </w:rPr>
        <w:t>.</w:t>
      </w:r>
    </w:p>
    <w:p w14:paraId="4C3F976B" w14:textId="240ACD28" w:rsidR="00644BA3" w:rsidRPr="008E099D" w:rsidRDefault="00644BA3" w:rsidP="008E099D">
      <w:pPr>
        <w:pStyle w:val="Estilo1"/>
        <w:numPr>
          <w:ilvl w:val="2"/>
          <w:numId w:val="13"/>
        </w:numPr>
        <w:rPr>
          <w:i/>
        </w:rPr>
      </w:pPr>
      <w:bookmarkStart w:id="113" w:name="_Toc159511199"/>
      <w:bookmarkStart w:id="114" w:name="_Toc159927068"/>
      <w:proofErr w:type="spellStart"/>
      <w:r w:rsidRPr="008E099D">
        <w:rPr>
          <w:i/>
        </w:rPr>
        <w:lastRenderedPageBreak/>
        <w:t>Disclaimer</w:t>
      </w:r>
      <w:bookmarkEnd w:id="113"/>
      <w:bookmarkEnd w:id="114"/>
      <w:proofErr w:type="spellEnd"/>
    </w:p>
    <w:p w14:paraId="10871C78" w14:textId="2E3D64E8" w:rsidR="00644BA3" w:rsidRPr="00BD4033" w:rsidRDefault="00644BA3" w:rsidP="00F17372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r w:rsidRPr="00271630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271630">
        <w:rPr>
          <w:rFonts w:ascii="Arial" w:hAnsi="Arial" w:cs="Arial"/>
          <w:i/>
          <w:sz w:val="24"/>
          <w:szCs w:val="24"/>
        </w:rPr>
        <w:t>disclaimers</w:t>
      </w:r>
      <w:proofErr w:type="spellEnd"/>
      <w:r w:rsidRPr="00271630">
        <w:rPr>
          <w:rFonts w:ascii="Arial" w:hAnsi="Arial" w:cs="Arial"/>
          <w:sz w:val="24"/>
          <w:szCs w:val="24"/>
        </w:rPr>
        <w:t xml:space="preserve"> padronizados, mencionados anteriormente.</w:t>
      </w:r>
    </w:p>
    <w:p w14:paraId="5C77E618" w14:textId="399909DD" w:rsidR="00796960" w:rsidRPr="00796960" w:rsidRDefault="00796960" w:rsidP="008E099D">
      <w:pPr>
        <w:pStyle w:val="Estilo1"/>
        <w:numPr>
          <w:ilvl w:val="2"/>
          <w:numId w:val="13"/>
        </w:numPr>
        <w:rPr>
          <w:b w:val="0"/>
        </w:rPr>
      </w:pPr>
      <w:bookmarkStart w:id="115" w:name="_Toc159511200"/>
      <w:bookmarkStart w:id="116" w:name="_Toc159927069"/>
      <w:r w:rsidRPr="00796960">
        <w:t>Coberturas</w:t>
      </w:r>
      <w:bookmarkEnd w:id="115"/>
      <w:bookmarkEnd w:id="116"/>
    </w:p>
    <w:p w14:paraId="2367050C" w14:textId="4B47BB84" w:rsidR="0019369B" w:rsidRPr="006D79F7" w:rsidRDefault="00761B00" w:rsidP="008116BB">
      <w:pPr>
        <w:spacing w:line="360" w:lineRule="auto"/>
        <w:ind w:left="284" w:firstLine="850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19369B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</w:t>
      </w:r>
      <w:r w:rsidR="003E07CF" w:rsidRPr="00765FD4">
        <w:rPr>
          <w:rFonts w:ascii="Arial" w:hAnsi="Arial" w:cs="Arial"/>
          <w:sz w:val="24"/>
          <w:szCs w:val="24"/>
        </w:rPr>
        <w:t>que contenham</w:t>
      </w:r>
      <w:r w:rsidR="0019369B" w:rsidRPr="00765FD4">
        <w:rPr>
          <w:rFonts w:ascii="Arial" w:hAnsi="Arial" w:cs="Arial"/>
          <w:sz w:val="24"/>
          <w:szCs w:val="24"/>
        </w:rPr>
        <w:t xml:space="preserve"> </w:t>
      </w:r>
      <w:r w:rsidR="00A40320" w:rsidRPr="00765FD4">
        <w:rPr>
          <w:rFonts w:ascii="Arial" w:hAnsi="Arial" w:cs="Arial"/>
          <w:sz w:val="24"/>
          <w:szCs w:val="24"/>
        </w:rPr>
        <w:t xml:space="preserve">no mínimo </w:t>
      </w:r>
      <w:r w:rsidR="0019369B" w:rsidRPr="00765FD4">
        <w:rPr>
          <w:rFonts w:ascii="Arial" w:hAnsi="Arial" w:cs="Arial"/>
          <w:sz w:val="24"/>
          <w:szCs w:val="24"/>
        </w:rPr>
        <w:t>as coberturas de "</w:t>
      </w:r>
      <w:r w:rsidR="00B026B6" w:rsidRPr="00765FD4">
        <w:rPr>
          <w:rFonts w:ascii="Arial" w:hAnsi="Arial" w:cs="Arial"/>
          <w:sz w:val="24"/>
          <w:szCs w:val="24"/>
        </w:rPr>
        <w:t xml:space="preserve">Danos Físicos ao Imóvel” e “Morte e Invalidez Total e Permanente”. </w:t>
      </w:r>
    </w:p>
    <w:p w14:paraId="098C6EF3" w14:textId="77777777" w:rsidR="00301A4E" w:rsidRDefault="00301A4E" w:rsidP="00301A4E"/>
    <w:p w14:paraId="5C5FACD4" w14:textId="77777777" w:rsidR="00A3696E" w:rsidRDefault="00A3696E" w:rsidP="00301A4E"/>
    <w:p w14:paraId="476F265D" w14:textId="2307D92D" w:rsidR="003066FB" w:rsidRDefault="008A5BA4" w:rsidP="008E099D">
      <w:pPr>
        <w:pStyle w:val="Estilo1"/>
        <w:numPr>
          <w:ilvl w:val="1"/>
          <w:numId w:val="13"/>
        </w:numPr>
      </w:pPr>
      <w:bookmarkStart w:id="117" w:name="_Toc159511201"/>
      <w:bookmarkStart w:id="118" w:name="_Toc159927070"/>
      <w:r w:rsidRPr="006D79F7">
        <w:t>Grupo Rural</w:t>
      </w:r>
      <w:r w:rsidR="007C66D0" w:rsidRPr="006D79F7">
        <w:t xml:space="preserve"> (</w:t>
      </w:r>
      <w:r w:rsidR="00690ACD">
        <w:t>“</w:t>
      </w:r>
      <w:r w:rsidR="007C66D0" w:rsidRPr="006D79F7">
        <w:t>Benfeitorias e Produtos Agropecuários” e “Penhor Rural”)</w:t>
      </w:r>
      <w:bookmarkEnd w:id="117"/>
      <w:bookmarkEnd w:id="118"/>
    </w:p>
    <w:p w14:paraId="5A0C2D82" w14:textId="49796A3A" w:rsidR="008466AB" w:rsidRPr="003066FB" w:rsidRDefault="003066FB" w:rsidP="008E099D">
      <w:pPr>
        <w:pStyle w:val="Estilo1"/>
        <w:numPr>
          <w:ilvl w:val="2"/>
          <w:numId w:val="13"/>
        </w:numPr>
        <w:rPr>
          <w:b w:val="0"/>
        </w:rPr>
      </w:pPr>
      <w:bookmarkStart w:id="119" w:name="_Toc159511202"/>
      <w:bookmarkStart w:id="120" w:name="_Toc159927071"/>
      <w:r w:rsidRPr="003066FB">
        <w:t>Metodologia</w:t>
      </w:r>
      <w:bookmarkEnd w:id="119"/>
      <w:bookmarkEnd w:id="120"/>
    </w:p>
    <w:p w14:paraId="0ABDDF9B" w14:textId="746DF20B" w:rsidR="008466AB" w:rsidRPr="006D79F7" w:rsidRDefault="008466AB" w:rsidP="003066FB">
      <w:pPr>
        <w:spacing w:line="360" w:lineRule="auto"/>
        <w:ind w:left="284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A proposta é que o grupo </w:t>
      </w:r>
      <w:r w:rsidR="00474C28" w:rsidRPr="006D79F7">
        <w:rPr>
          <w:rFonts w:ascii="Arial" w:hAnsi="Arial" w:cs="Arial"/>
          <w:sz w:val="24"/>
          <w:szCs w:val="24"/>
        </w:rPr>
        <w:t xml:space="preserve">Rural </w:t>
      </w:r>
      <w:r w:rsidRPr="006D79F7">
        <w:rPr>
          <w:rFonts w:ascii="Arial" w:hAnsi="Arial" w:cs="Arial"/>
          <w:sz w:val="24"/>
          <w:szCs w:val="24"/>
        </w:rPr>
        <w:t>siga a metodologia padrão apresentada</w:t>
      </w:r>
      <w:r w:rsidR="00474C28" w:rsidRPr="006D79F7">
        <w:rPr>
          <w:rFonts w:ascii="Arial" w:hAnsi="Arial" w:cs="Arial"/>
          <w:sz w:val="24"/>
          <w:szCs w:val="24"/>
        </w:rPr>
        <w:t xml:space="preserve">, </w:t>
      </w:r>
      <w:r w:rsidRPr="006D79F7">
        <w:rPr>
          <w:rFonts w:ascii="Arial" w:hAnsi="Arial" w:cs="Arial"/>
          <w:sz w:val="24"/>
          <w:szCs w:val="24"/>
        </w:rPr>
        <w:t>leva</w:t>
      </w:r>
      <w:r w:rsidR="00474C28" w:rsidRPr="006D79F7">
        <w:rPr>
          <w:rFonts w:ascii="Arial" w:hAnsi="Arial" w:cs="Arial"/>
          <w:sz w:val="24"/>
          <w:szCs w:val="24"/>
        </w:rPr>
        <w:t>n</w:t>
      </w:r>
      <w:r w:rsidRPr="006D79F7">
        <w:rPr>
          <w:rFonts w:ascii="Arial" w:hAnsi="Arial" w:cs="Arial"/>
          <w:sz w:val="24"/>
          <w:szCs w:val="24"/>
        </w:rPr>
        <w:t>do em consideração as seguintes faixas de LMI, que tiveram como referência as coberturas básicas:</w:t>
      </w:r>
    </w:p>
    <w:p w14:paraId="3137E10D" w14:textId="77777777" w:rsidR="008466AB" w:rsidRPr="006D79F7" w:rsidRDefault="008466AB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0 – 200.000,00; </w:t>
      </w:r>
    </w:p>
    <w:p w14:paraId="47C17BDA" w14:textId="77777777" w:rsidR="008466AB" w:rsidRPr="006D79F7" w:rsidRDefault="008466AB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200.000,01 – 400.000,00; </w:t>
      </w:r>
    </w:p>
    <w:p w14:paraId="64B922A6" w14:textId="77777777" w:rsidR="008466AB" w:rsidRPr="006D79F7" w:rsidRDefault="008466AB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400.000,01 – 600.000,00; </w:t>
      </w:r>
    </w:p>
    <w:p w14:paraId="2D732CF2" w14:textId="77777777" w:rsidR="008466AB" w:rsidRPr="006D79F7" w:rsidRDefault="008466AB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600.000,01 – 1 milhão.</w:t>
      </w:r>
    </w:p>
    <w:p w14:paraId="3690164F" w14:textId="12C93336" w:rsidR="008466AB" w:rsidRPr="003066FB" w:rsidRDefault="003066FB" w:rsidP="008E099D">
      <w:pPr>
        <w:pStyle w:val="Estilo1"/>
        <w:numPr>
          <w:ilvl w:val="2"/>
          <w:numId w:val="13"/>
        </w:numPr>
        <w:rPr>
          <w:b w:val="0"/>
        </w:rPr>
      </w:pPr>
      <w:bookmarkStart w:id="121" w:name="_Toc159511203"/>
      <w:bookmarkStart w:id="122" w:name="_Toc159927072"/>
      <w:r w:rsidRPr="003066FB">
        <w:t>Premissas</w:t>
      </w:r>
      <w:bookmarkEnd w:id="121"/>
      <w:bookmarkEnd w:id="122"/>
    </w:p>
    <w:p w14:paraId="5AE55438" w14:textId="5B96F109" w:rsidR="00206A52" w:rsidRPr="006D79F7" w:rsidRDefault="00206A52" w:rsidP="003066FB">
      <w:pPr>
        <w:spacing w:line="360" w:lineRule="auto"/>
        <w:ind w:left="284" w:firstLine="796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Neste grupo serão consideradas as premissas padronizadas, mencionadas anteriormente, com o acréscimo da seguinte que será apresentada também no </w:t>
      </w:r>
      <w:proofErr w:type="spellStart"/>
      <w:r w:rsidRPr="006D79F7">
        <w:rPr>
          <w:rFonts w:ascii="Arial" w:hAnsi="Arial" w:cs="Arial"/>
          <w:i/>
          <w:iCs/>
          <w:sz w:val="24"/>
          <w:szCs w:val="24"/>
        </w:rPr>
        <w:t>disclaimer</w:t>
      </w:r>
      <w:proofErr w:type="spellEnd"/>
      <w:r w:rsidRPr="006D79F7">
        <w:rPr>
          <w:rFonts w:ascii="Arial" w:hAnsi="Arial" w:cs="Arial"/>
          <w:sz w:val="24"/>
          <w:szCs w:val="24"/>
        </w:rPr>
        <w:t>:</w:t>
      </w:r>
    </w:p>
    <w:p w14:paraId="210D004B" w14:textId="6C33E9D1" w:rsidR="0053651B" w:rsidRPr="00765FD4" w:rsidRDefault="005365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Esta informação</w:t>
      </w:r>
      <w:r w:rsidR="003E07CF" w:rsidRPr="006D79F7">
        <w:rPr>
          <w:rFonts w:ascii="Arial" w:hAnsi="Arial" w:cs="Arial"/>
          <w:sz w:val="24"/>
          <w:szCs w:val="24"/>
        </w:rPr>
        <w:t xml:space="preserve"> </w:t>
      </w:r>
      <w:r w:rsidRPr="00765FD4">
        <w:rPr>
          <w:rFonts w:ascii="Arial" w:hAnsi="Arial" w:cs="Arial"/>
          <w:sz w:val="24"/>
          <w:szCs w:val="24"/>
        </w:rPr>
        <w:t xml:space="preserve">será reportada somente para </w:t>
      </w:r>
      <w:r w:rsidR="00E43207" w:rsidRPr="00765FD4">
        <w:rPr>
          <w:rFonts w:ascii="Arial" w:hAnsi="Arial" w:cs="Arial"/>
          <w:sz w:val="24"/>
          <w:szCs w:val="24"/>
        </w:rPr>
        <w:t xml:space="preserve">as modalidades </w:t>
      </w:r>
      <w:r w:rsidR="00762A2E" w:rsidRPr="00765FD4">
        <w:rPr>
          <w:rFonts w:ascii="Arial" w:hAnsi="Arial" w:cs="Arial"/>
          <w:sz w:val="24"/>
          <w:szCs w:val="24"/>
        </w:rPr>
        <w:t>“Benfeitorias e Produtos Agropecuários” e “Penhor Rural”</w:t>
      </w:r>
      <w:r w:rsidR="002616FE" w:rsidRPr="00765FD4">
        <w:rPr>
          <w:rFonts w:ascii="Arial" w:hAnsi="Arial" w:cs="Arial"/>
          <w:sz w:val="24"/>
          <w:szCs w:val="24"/>
        </w:rPr>
        <w:t>.</w:t>
      </w:r>
    </w:p>
    <w:p w14:paraId="4B444BAA" w14:textId="48C21876" w:rsidR="00B47246" w:rsidRPr="00765FD4" w:rsidRDefault="003066FB" w:rsidP="008E099D">
      <w:pPr>
        <w:pStyle w:val="Estilo1"/>
        <w:numPr>
          <w:ilvl w:val="2"/>
          <w:numId w:val="13"/>
        </w:numPr>
        <w:rPr>
          <w:b w:val="0"/>
          <w:i/>
          <w:iCs/>
        </w:rPr>
      </w:pPr>
      <w:bookmarkStart w:id="123" w:name="_Toc159511204"/>
      <w:bookmarkStart w:id="124" w:name="_Toc159927073"/>
      <w:proofErr w:type="spellStart"/>
      <w:r w:rsidRPr="00765FD4">
        <w:rPr>
          <w:i/>
          <w:iCs/>
        </w:rPr>
        <w:t>Disclaimer</w:t>
      </w:r>
      <w:bookmarkEnd w:id="123"/>
      <w:bookmarkEnd w:id="124"/>
      <w:proofErr w:type="spellEnd"/>
    </w:p>
    <w:p w14:paraId="25C0C218" w14:textId="4FDEA4C1" w:rsidR="00BD4033" w:rsidRPr="00765FD4" w:rsidRDefault="00BD4033" w:rsidP="00BD4033">
      <w:pPr>
        <w:spacing w:line="360" w:lineRule="auto"/>
        <w:ind w:left="284" w:firstLine="796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765FD4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Pr="00765FD4">
        <w:rPr>
          <w:rFonts w:ascii="Arial" w:hAnsi="Arial" w:cs="Arial"/>
          <w:sz w:val="24"/>
          <w:szCs w:val="24"/>
        </w:rPr>
        <w:t xml:space="preserve"> padronizados, mencionados anteriormente, com o acréscimo do seguinte:</w:t>
      </w:r>
    </w:p>
    <w:p w14:paraId="15831605" w14:textId="7492B29E" w:rsidR="003066FB" w:rsidRPr="00765FD4" w:rsidRDefault="00BD4033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E</w:t>
      </w:r>
      <w:r w:rsidR="00B47246" w:rsidRPr="00765FD4">
        <w:rPr>
          <w:rFonts w:ascii="Arial" w:hAnsi="Arial" w:cs="Arial"/>
          <w:sz w:val="24"/>
          <w:szCs w:val="24"/>
        </w:rPr>
        <w:t>ssa informação considera</w:t>
      </w:r>
      <w:r w:rsidR="00514C41" w:rsidRPr="00765FD4">
        <w:rPr>
          <w:rFonts w:ascii="Arial" w:hAnsi="Arial" w:cs="Arial"/>
          <w:sz w:val="24"/>
          <w:szCs w:val="24"/>
        </w:rPr>
        <w:t>da para as modalidades de</w:t>
      </w:r>
      <w:r w:rsidR="00265915" w:rsidRPr="00765FD4">
        <w:rPr>
          <w:rFonts w:ascii="Arial" w:hAnsi="Arial" w:cs="Arial"/>
          <w:sz w:val="24"/>
          <w:szCs w:val="24"/>
        </w:rPr>
        <w:t xml:space="preserve"> “benfeitorias e produtos agropecuários”</w:t>
      </w:r>
      <w:r w:rsidR="00807E23" w:rsidRPr="00765FD4">
        <w:rPr>
          <w:rFonts w:ascii="Arial" w:hAnsi="Arial" w:cs="Arial"/>
          <w:sz w:val="24"/>
          <w:szCs w:val="24"/>
        </w:rPr>
        <w:t xml:space="preserve"> e “penhor rural”</w:t>
      </w:r>
      <w:r w:rsidR="00B47246" w:rsidRPr="00765FD4">
        <w:rPr>
          <w:rFonts w:ascii="Arial" w:hAnsi="Arial" w:cs="Arial"/>
          <w:sz w:val="24"/>
          <w:szCs w:val="24"/>
        </w:rPr>
        <w:t>.</w:t>
      </w:r>
    </w:p>
    <w:p w14:paraId="792FE1F6" w14:textId="4DB8C11E" w:rsidR="003066FB" w:rsidRPr="00765FD4" w:rsidRDefault="003066FB" w:rsidP="008E099D">
      <w:pPr>
        <w:pStyle w:val="Estilo1"/>
        <w:numPr>
          <w:ilvl w:val="2"/>
          <w:numId w:val="13"/>
        </w:numPr>
        <w:rPr>
          <w:b w:val="0"/>
        </w:rPr>
      </w:pPr>
      <w:bookmarkStart w:id="125" w:name="_Toc159511205"/>
      <w:bookmarkStart w:id="126" w:name="_Toc159927074"/>
      <w:r w:rsidRPr="00765FD4">
        <w:lastRenderedPageBreak/>
        <w:t>Coberturas</w:t>
      </w:r>
      <w:bookmarkEnd w:id="125"/>
      <w:bookmarkEnd w:id="126"/>
    </w:p>
    <w:p w14:paraId="4366319E" w14:textId="0424096F" w:rsidR="008466AB" w:rsidRPr="008E099D" w:rsidRDefault="00761B00" w:rsidP="008E099D">
      <w:pPr>
        <w:spacing w:line="360" w:lineRule="auto"/>
        <w:ind w:left="284" w:firstLine="850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4531C6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</w:t>
      </w:r>
      <w:r w:rsidR="00DF353F" w:rsidRPr="00765FD4">
        <w:rPr>
          <w:rFonts w:ascii="Arial" w:hAnsi="Arial" w:cs="Arial"/>
          <w:sz w:val="24"/>
          <w:szCs w:val="24"/>
        </w:rPr>
        <w:t>que contenham</w:t>
      </w:r>
      <w:r w:rsidR="004531C6" w:rsidRPr="00765FD4">
        <w:rPr>
          <w:rFonts w:ascii="Arial" w:hAnsi="Arial" w:cs="Arial"/>
          <w:sz w:val="24"/>
          <w:szCs w:val="24"/>
        </w:rPr>
        <w:t xml:space="preserve"> </w:t>
      </w:r>
      <w:r w:rsidR="00D047CC" w:rsidRPr="00765FD4">
        <w:rPr>
          <w:rFonts w:ascii="Arial" w:hAnsi="Arial" w:cs="Arial"/>
          <w:sz w:val="24"/>
          <w:szCs w:val="24"/>
        </w:rPr>
        <w:t xml:space="preserve">no mínimo </w:t>
      </w:r>
      <w:r w:rsidR="004531C6" w:rsidRPr="00765FD4">
        <w:rPr>
          <w:rFonts w:ascii="Arial" w:hAnsi="Arial" w:cs="Arial"/>
          <w:sz w:val="24"/>
          <w:szCs w:val="24"/>
        </w:rPr>
        <w:t>as coberturas de "</w:t>
      </w:r>
      <w:r w:rsidR="005A2A39" w:rsidRPr="00765FD4">
        <w:rPr>
          <w:rFonts w:ascii="Arial" w:hAnsi="Arial" w:cs="Arial"/>
          <w:sz w:val="24"/>
          <w:szCs w:val="24"/>
        </w:rPr>
        <w:t>Compreensiva para a modalidade benfeitorias e produtos agropecuários</w:t>
      </w:r>
      <w:r w:rsidR="004531C6" w:rsidRPr="00765FD4">
        <w:rPr>
          <w:rFonts w:ascii="Arial" w:hAnsi="Arial" w:cs="Arial"/>
          <w:sz w:val="24"/>
          <w:szCs w:val="24"/>
        </w:rPr>
        <w:t xml:space="preserve">” </w:t>
      </w:r>
      <w:r w:rsidR="00874CD1" w:rsidRPr="00765FD4">
        <w:rPr>
          <w:rFonts w:ascii="Arial" w:hAnsi="Arial" w:cs="Arial"/>
          <w:sz w:val="24"/>
          <w:szCs w:val="24"/>
        </w:rPr>
        <w:t>e/</w:t>
      </w:r>
      <w:r w:rsidR="005A2A39" w:rsidRPr="00765FD4">
        <w:rPr>
          <w:rFonts w:ascii="Arial" w:hAnsi="Arial" w:cs="Arial"/>
          <w:sz w:val="24"/>
          <w:szCs w:val="24"/>
        </w:rPr>
        <w:t>ou “</w:t>
      </w:r>
      <w:r w:rsidR="0099333D" w:rsidRPr="00765FD4">
        <w:rPr>
          <w:rFonts w:ascii="Arial" w:hAnsi="Arial" w:cs="Arial"/>
          <w:sz w:val="24"/>
          <w:szCs w:val="24"/>
        </w:rPr>
        <w:t>Compreensiva para a modalidade penhor rural”, conforme tabela de coberturas do Manual de Escopo de Dados</w:t>
      </w:r>
      <w:r w:rsidR="004531C6" w:rsidRPr="00765FD4">
        <w:rPr>
          <w:rFonts w:ascii="Arial" w:hAnsi="Arial" w:cs="Arial"/>
          <w:sz w:val="24"/>
          <w:szCs w:val="24"/>
        </w:rPr>
        <w:t xml:space="preserve">. </w:t>
      </w:r>
    </w:p>
    <w:p w14:paraId="4E4EAABA" w14:textId="77777777" w:rsidR="003B35C7" w:rsidRDefault="003B35C7" w:rsidP="008466AB"/>
    <w:p w14:paraId="6E8EEAED" w14:textId="77777777" w:rsidR="00A3696E" w:rsidRPr="006D79F7" w:rsidRDefault="00A3696E" w:rsidP="008466AB"/>
    <w:p w14:paraId="17CD2595" w14:textId="0903EA74" w:rsidR="00CC52D5" w:rsidRDefault="008A5BA4" w:rsidP="00425002">
      <w:pPr>
        <w:pStyle w:val="Estilo1"/>
        <w:numPr>
          <w:ilvl w:val="1"/>
          <w:numId w:val="13"/>
        </w:numPr>
      </w:pPr>
      <w:bookmarkStart w:id="127" w:name="_Toc159511207"/>
      <w:bookmarkStart w:id="128" w:name="_Toc159927075"/>
      <w:r w:rsidRPr="006D79F7">
        <w:t>Demais Seguros Gerais</w:t>
      </w:r>
      <w:r w:rsidR="00FE483E" w:rsidRPr="006D79F7">
        <w:t xml:space="preserve"> – Patrimonial</w:t>
      </w:r>
      <w:bookmarkEnd w:id="127"/>
      <w:bookmarkEnd w:id="128"/>
      <w:r w:rsidR="009B0CF8" w:rsidRPr="006D79F7">
        <w:t xml:space="preserve"> </w:t>
      </w:r>
    </w:p>
    <w:p w14:paraId="0B50730B" w14:textId="2AB28AD2" w:rsidR="00CC52D5" w:rsidRPr="00CC52D5" w:rsidRDefault="00CC52D5" w:rsidP="00425002">
      <w:pPr>
        <w:pStyle w:val="Estilo1"/>
        <w:numPr>
          <w:ilvl w:val="2"/>
          <w:numId w:val="13"/>
        </w:numPr>
        <w:rPr>
          <w:b w:val="0"/>
        </w:rPr>
      </w:pPr>
      <w:bookmarkStart w:id="129" w:name="_Toc159511208"/>
      <w:bookmarkStart w:id="130" w:name="_Toc159927076"/>
      <w:r w:rsidRPr="00CC52D5">
        <w:t>Metodologia</w:t>
      </w:r>
      <w:bookmarkEnd w:id="129"/>
      <w:bookmarkEnd w:id="130"/>
    </w:p>
    <w:p w14:paraId="30266B59" w14:textId="3F49BFD0" w:rsidR="00F84AE3" w:rsidRPr="006D79F7" w:rsidRDefault="00651863" w:rsidP="00CC52D5">
      <w:pPr>
        <w:spacing w:line="360" w:lineRule="auto"/>
        <w:ind w:left="284" w:firstLine="708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Os produtos abordados nessa seção </w:t>
      </w:r>
      <w:r w:rsidR="00F84AE3" w:rsidRPr="006D79F7">
        <w:rPr>
          <w:rFonts w:ascii="Arial" w:hAnsi="Arial" w:cs="Arial"/>
          <w:sz w:val="24"/>
          <w:szCs w:val="24"/>
        </w:rPr>
        <w:t xml:space="preserve">são: </w:t>
      </w:r>
    </w:p>
    <w:p w14:paraId="1F306FEA" w14:textId="63E81373" w:rsidR="00CC52D5" w:rsidRPr="00CC52D5" w:rsidRDefault="00715C5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Patrimonial – Riscos de Engenharia (0167)</w:t>
      </w:r>
      <w:r w:rsidR="00CC52D5">
        <w:rPr>
          <w:rFonts w:ascii="Arial" w:hAnsi="Arial" w:cs="Arial"/>
          <w:sz w:val="24"/>
          <w:szCs w:val="24"/>
        </w:rPr>
        <w:t>.</w:t>
      </w:r>
    </w:p>
    <w:p w14:paraId="24A70B92" w14:textId="4AD0324C" w:rsidR="00120B58" w:rsidRPr="006D79F7" w:rsidRDefault="00120B58" w:rsidP="00CC52D5">
      <w:pPr>
        <w:spacing w:line="360" w:lineRule="auto"/>
        <w:ind w:left="284" w:firstLine="784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A proposta é que o produto de Riscos de Engenharia siga a metodologia padrão apresentada, levando em consideração as seguintes faixas de LMI, que tiveram como referência as coberturas básicas:</w:t>
      </w:r>
    </w:p>
    <w:p w14:paraId="37739D68" w14:textId="77777777" w:rsidR="00120B58" w:rsidRPr="006D79F7" w:rsidRDefault="00120B58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0 – 200.000,00; </w:t>
      </w:r>
    </w:p>
    <w:p w14:paraId="696A6F8D" w14:textId="77777777" w:rsidR="00120B58" w:rsidRPr="006D79F7" w:rsidRDefault="00120B58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200.000,01 – 400.000,00; </w:t>
      </w:r>
    </w:p>
    <w:p w14:paraId="33466D15" w14:textId="77777777" w:rsidR="00120B58" w:rsidRPr="006D79F7" w:rsidRDefault="00120B58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400.000,01 – 600.000,00; </w:t>
      </w:r>
    </w:p>
    <w:p w14:paraId="2FD397F2" w14:textId="3C85C99E" w:rsidR="00120B58" w:rsidRPr="006D79F7" w:rsidRDefault="00120B58">
      <w:pPr>
        <w:numPr>
          <w:ilvl w:val="0"/>
          <w:numId w:val="2"/>
        </w:numPr>
        <w:tabs>
          <w:tab w:val="clear" w:pos="720"/>
          <w:tab w:val="num" w:pos="1080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>600.000,01 – 1</w:t>
      </w:r>
      <w:r w:rsidR="00C04B74" w:rsidRPr="006D79F7">
        <w:rPr>
          <w:rFonts w:ascii="Arial" w:hAnsi="Arial" w:cs="Arial"/>
          <w:sz w:val="24"/>
          <w:szCs w:val="24"/>
        </w:rPr>
        <w:t xml:space="preserve"> milhão</w:t>
      </w:r>
      <w:r w:rsidRPr="006D79F7">
        <w:rPr>
          <w:rFonts w:ascii="Arial" w:hAnsi="Arial" w:cs="Arial"/>
          <w:sz w:val="24"/>
          <w:szCs w:val="24"/>
        </w:rPr>
        <w:t>.</w:t>
      </w:r>
    </w:p>
    <w:p w14:paraId="6378E62B" w14:textId="13446A82" w:rsidR="00120B58" w:rsidRPr="00555190" w:rsidRDefault="00CC52D5" w:rsidP="00425002">
      <w:pPr>
        <w:pStyle w:val="Estilo1"/>
        <w:numPr>
          <w:ilvl w:val="2"/>
          <w:numId w:val="13"/>
        </w:numPr>
        <w:rPr>
          <w:b w:val="0"/>
        </w:rPr>
      </w:pPr>
      <w:bookmarkStart w:id="131" w:name="_Toc159511209"/>
      <w:bookmarkStart w:id="132" w:name="_Toc159927077"/>
      <w:r w:rsidRPr="00555190">
        <w:t>Pre</w:t>
      </w:r>
      <w:r w:rsidR="00555190" w:rsidRPr="00555190">
        <w:t>missas</w:t>
      </w:r>
      <w:r w:rsidR="006B6998">
        <w:t xml:space="preserve"> para o produto de Riscos de Engenharia</w:t>
      </w:r>
      <w:bookmarkEnd w:id="131"/>
      <w:bookmarkEnd w:id="132"/>
    </w:p>
    <w:p w14:paraId="225CF1FE" w14:textId="0F149609" w:rsidR="00682447" w:rsidRPr="006D79F7" w:rsidRDefault="00682447" w:rsidP="00CC52D5">
      <w:pPr>
        <w:spacing w:line="360" w:lineRule="auto"/>
        <w:ind w:left="284" w:firstLine="796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Neste grupo serão consideradas as premissas padronizadas, mencionadas anteriormente, com o acréscimo da seguinte que será apresentada também no </w:t>
      </w:r>
      <w:proofErr w:type="spellStart"/>
      <w:r w:rsidRPr="006D79F7">
        <w:rPr>
          <w:rFonts w:ascii="Arial" w:hAnsi="Arial" w:cs="Arial"/>
          <w:i/>
          <w:iCs/>
          <w:sz w:val="24"/>
          <w:szCs w:val="24"/>
        </w:rPr>
        <w:t>disclaimer</w:t>
      </w:r>
      <w:proofErr w:type="spellEnd"/>
      <w:r w:rsidRPr="006D79F7">
        <w:rPr>
          <w:rFonts w:ascii="Arial" w:hAnsi="Arial" w:cs="Arial"/>
          <w:sz w:val="24"/>
          <w:szCs w:val="24"/>
        </w:rPr>
        <w:t>:</w:t>
      </w:r>
    </w:p>
    <w:p w14:paraId="483EC486" w14:textId="4E093DE4" w:rsidR="00120B58" w:rsidRPr="00765FD4" w:rsidRDefault="00BE44E6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D79F7">
        <w:rPr>
          <w:rFonts w:ascii="Arial" w:hAnsi="Arial" w:cs="Arial"/>
          <w:sz w:val="24"/>
          <w:szCs w:val="24"/>
        </w:rPr>
        <w:t xml:space="preserve">Serão reportadas somente informações para obras do Grupo 1 – Reformas e </w:t>
      </w:r>
      <w:r w:rsidRPr="00765FD4">
        <w:rPr>
          <w:rFonts w:ascii="Arial" w:hAnsi="Arial" w:cs="Arial"/>
          <w:sz w:val="24"/>
          <w:szCs w:val="24"/>
        </w:rPr>
        <w:t>Construções.</w:t>
      </w:r>
    </w:p>
    <w:p w14:paraId="192D0A73" w14:textId="6A4B80D6" w:rsidR="00B74D93" w:rsidRPr="00425002" w:rsidRDefault="00B74D93" w:rsidP="00425002">
      <w:pPr>
        <w:pStyle w:val="Estilo1"/>
        <w:numPr>
          <w:ilvl w:val="2"/>
          <w:numId w:val="13"/>
        </w:numPr>
      </w:pPr>
      <w:bookmarkStart w:id="133" w:name="_Toc159511210"/>
      <w:bookmarkStart w:id="134" w:name="_Toc159927078"/>
      <w:proofErr w:type="spellStart"/>
      <w:r w:rsidRPr="00765FD4">
        <w:rPr>
          <w:i/>
          <w:iCs/>
        </w:rPr>
        <w:t>Disclaimer</w:t>
      </w:r>
      <w:proofErr w:type="spellEnd"/>
      <w:r w:rsidR="006B6998" w:rsidRPr="00425002">
        <w:t xml:space="preserve"> </w:t>
      </w:r>
      <w:r w:rsidR="006B6998" w:rsidRPr="00765FD4">
        <w:t>para o produto de Riscos de Engenharia</w:t>
      </w:r>
      <w:bookmarkEnd w:id="133"/>
      <w:bookmarkEnd w:id="134"/>
    </w:p>
    <w:p w14:paraId="56283780" w14:textId="3BBF2D24" w:rsidR="003B7091" w:rsidRPr="00765FD4" w:rsidRDefault="003B7091" w:rsidP="003B7091">
      <w:pPr>
        <w:spacing w:line="360" w:lineRule="auto"/>
        <w:ind w:left="284" w:firstLine="708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 xml:space="preserve">Neste grupo serão considerados os </w:t>
      </w:r>
      <w:proofErr w:type="spellStart"/>
      <w:r w:rsidRPr="00765FD4">
        <w:rPr>
          <w:rFonts w:ascii="Arial" w:hAnsi="Arial" w:cs="Arial"/>
          <w:i/>
          <w:iCs/>
          <w:sz w:val="24"/>
          <w:szCs w:val="24"/>
        </w:rPr>
        <w:t>disclaimers</w:t>
      </w:r>
      <w:proofErr w:type="spellEnd"/>
      <w:r w:rsidRPr="00765FD4">
        <w:rPr>
          <w:rFonts w:ascii="Arial" w:hAnsi="Arial" w:cs="Arial"/>
          <w:sz w:val="24"/>
          <w:szCs w:val="24"/>
        </w:rPr>
        <w:t xml:space="preserve"> padronizados, mencionados anteriormente, com o acréscimo do seguinte:</w:t>
      </w:r>
    </w:p>
    <w:p w14:paraId="1FE1D19D" w14:textId="37D93AC4" w:rsidR="00BD74B9" w:rsidRPr="00765FD4" w:rsidRDefault="00A77F3C">
      <w:pPr>
        <w:numPr>
          <w:ilvl w:val="0"/>
          <w:numId w:val="3"/>
        </w:numPr>
        <w:tabs>
          <w:tab w:val="num" w:pos="72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lastRenderedPageBreak/>
        <w:t>E</w:t>
      </w:r>
      <w:r w:rsidR="00BD74B9" w:rsidRPr="00765FD4">
        <w:rPr>
          <w:rFonts w:ascii="Arial" w:hAnsi="Arial" w:cs="Arial"/>
          <w:sz w:val="24"/>
          <w:szCs w:val="24"/>
        </w:rPr>
        <w:t>ssa informação considera</w:t>
      </w:r>
      <w:r w:rsidR="000C6D59" w:rsidRPr="00765FD4">
        <w:rPr>
          <w:rFonts w:ascii="Arial" w:hAnsi="Arial" w:cs="Arial"/>
          <w:sz w:val="24"/>
          <w:szCs w:val="24"/>
        </w:rPr>
        <w:t xml:space="preserve"> </w:t>
      </w:r>
      <w:r w:rsidR="00C732DC" w:rsidRPr="00765FD4">
        <w:rPr>
          <w:rFonts w:ascii="Arial" w:hAnsi="Arial" w:cs="Arial"/>
          <w:sz w:val="24"/>
          <w:szCs w:val="24"/>
        </w:rPr>
        <w:t>obras do Grupo 1 – Reformas e Construções.</w:t>
      </w:r>
    </w:p>
    <w:p w14:paraId="60DF35A5" w14:textId="5D76473D" w:rsidR="00680770" w:rsidRPr="00765FD4" w:rsidRDefault="00680770" w:rsidP="003B35C7">
      <w:pPr>
        <w:pStyle w:val="Estilo1"/>
        <w:numPr>
          <w:ilvl w:val="2"/>
          <w:numId w:val="13"/>
        </w:numPr>
        <w:rPr>
          <w:b w:val="0"/>
        </w:rPr>
      </w:pPr>
      <w:bookmarkStart w:id="135" w:name="_Toc159511211"/>
      <w:bookmarkStart w:id="136" w:name="_Toc159927079"/>
      <w:r w:rsidRPr="003B35C7">
        <w:rPr>
          <w:i/>
        </w:rPr>
        <w:t>Coberturas</w:t>
      </w:r>
      <w:r w:rsidR="006B6998" w:rsidRPr="003B35C7">
        <w:rPr>
          <w:i/>
        </w:rPr>
        <w:t xml:space="preserve"> para o produto de Riscos de Engenharia</w:t>
      </w:r>
      <w:bookmarkEnd w:id="135"/>
      <w:bookmarkEnd w:id="136"/>
    </w:p>
    <w:p w14:paraId="318548D4" w14:textId="504ACE75" w:rsidR="00052C26" w:rsidRDefault="00761B00" w:rsidP="00CC52D5">
      <w:pPr>
        <w:spacing w:line="360" w:lineRule="auto"/>
        <w:ind w:left="284" w:firstLine="708"/>
        <w:jc w:val="both"/>
        <w:rPr>
          <w:rFonts w:ascii="Arial" w:hAnsi="Arial" w:cs="Arial"/>
          <w:sz w:val="24"/>
          <w:szCs w:val="24"/>
        </w:rPr>
      </w:pPr>
      <w:r w:rsidRPr="00765FD4">
        <w:rPr>
          <w:rFonts w:ascii="Arial" w:hAnsi="Arial" w:cs="Arial"/>
          <w:sz w:val="24"/>
          <w:szCs w:val="24"/>
        </w:rPr>
        <w:t>Por fim, o</w:t>
      </w:r>
      <w:r w:rsidR="00052C26" w:rsidRPr="00765FD4">
        <w:rPr>
          <w:rFonts w:ascii="Arial" w:hAnsi="Arial" w:cs="Arial"/>
          <w:sz w:val="24"/>
          <w:szCs w:val="24"/>
        </w:rPr>
        <w:t xml:space="preserve"> valor do prêmio terá como base a seleção de apólices emitidas </w:t>
      </w:r>
      <w:r w:rsidR="000A36B2" w:rsidRPr="00765FD4">
        <w:rPr>
          <w:rFonts w:ascii="Arial" w:hAnsi="Arial" w:cs="Arial"/>
          <w:sz w:val="24"/>
          <w:szCs w:val="24"/>
        </w:rPr>
        <w:t xml:space="preserve">que contenham </w:t>
      </w:r>
      <w:r w:rsidR="002D56D1" w:rsidRPr="00765FD4">
        <w:rPr>
          <w:rFonts w:ascii="Arial" w:hAnsi="Arial" w:cs="Arial"/>
          <w:sz w:val="24"/>
          <w:szCs w:val="24"/>
        </w:rPr>
        <w:t xml:space="preserve">no mínimo </w:t>
      </w:r>
      <w:r w:rsidR="000A36B2" w:rsidRPr="00765FD4">
        <w:rPr>
          <w:rFonts w:ascii="Arial" w:hAnsi="Arial" w:cs="Arial"/>
          <w:sz w:val="24"/>
          <w:szCs w:val="24"/>
        </w:rPr>
        <w:t>a</w:t>
      </w:r>
      <w:r w:rsidR="00052C26" w:rsidRPr="00765FD4">
        <w:rPr>
          <w:rFonts w:ascii="Arial" w:hAnsi="Arial" w:cs="Arial"/>
          <w:sz w:val="24"/>
          <w:szCs w:val="24"/>
        </w:rPr>
        <w:t xml:space="preserve"> cobertura de "</w:t>
      </w:r>
      <w:r w:rsidR="00A63649" w:rsidRPr="00765FD4">
        <w:rPr>
          <w:rFonts w:ascii="Arial" w:hAnsi="Arial" w:cs="Arial"/>
          <w:sz w:val="24"/>
          <w:szCs w:val="24"/>
        </w:rPr>
        <w:t>o</w:t>
      </w:r>
      <w:r w:rsidR="009661D8" w:rsidRPr="00765FD4">
        <w:rPr>
          <w:rFonts w:ascii="Arial" w:hAnsi="Arial" w:cs="Arial"/>
          <w:sz w:val="24"/>
          <w:szCs w:val="24"/>
        </w:rPr>
        <w:t xml:space="preserve">bras </w:t>
      </w:r>
      <w:r w:rsidR="00A63649" w:rsidRPr="00765FD4">
        <w:rPr>
          <w:rFonts w:ascii="Arial" w:hAnsi="Arial" w:cs="Arial"/>
          <w:sz w:val="24"/>
          <w:szCs w:val="24"/>
        </w:rPr>
        <w:t>c</w:t>
      </w:r>
      <w:r w:rsidR="009661D8" w:rsidRPr="00765FD4">
        <w:rPr>
          <w:rFonts w:ascii="Arial" w:hAnsi="Arial" w:cs="Arial"/>
          <w:sz w:val="24"/>
          <w:szCs w:val="24"/>
        </w:rPr>
        <w:t xml:space="preserve">ivis </w:t>
      </w:r>
      <w:r w:rsidR="00A63649" w:rsidRPr="00765FD4">
        <w:rPr>
          <w:rFonts w:ascii="Arial" w:hAnsi="Arial" w:cs="Arial"/>
          <w:sz w:val="24"/>
          <w:szCs w:val="24"/>
        </w:rPr>
        <w:t>c</w:t>
      </w:r>
      <w:r w:rsidR="009661D8" w:rsidRPr="00765FD4">
        <w:rPr>
          <w:rFonts w:ascii="Arial" w:hAnsi="Arial" w:cs="Arial"/>
          <w:sz w:val="24"/>
          <w:szCs w:val="24"/>
        </w:rPr>
        <w:t xml:space="preserve">onstrução e </w:t>
      </w:r>
      <w:r w:rsidR="00A63649" w:rsidRPr="00765FD4">
        <w:rPr>
          <w:rFonts w:ascii="Arial" w:hAnsi="Arial" w:cs="Arial"/>
          <w:sz w:val="24"/>
          <w:szCs w:val="24"/>
        </w:rPr>
        <w:t>i</w:t>
      </w:r>
      <w:r w:rsidR="009661D8" w:rsidRPr="00765FD4">
        <w:rPr>
          <w:rFonts w:ascii="Arial" w:hAnsi="Arial" w:cs="Arial"/>
          <w:sz w:val="24"/>
          <w:szCs w:val="24"/>
        </w:rPr>
        <w:t xml:space="preserve">nstalação e </w:t>
      </w:r>
      <w:r w:rsidR="00A63649" w:rsidRPr="00765FD4">
        <w:rPr>
          <w:rFonts w:ascii="Arial" w:hAnsi="Arial" w:cs="Arial"/>
          <w:sz w:val="24"/>
          <w:szCs w:val="24"/>
        </w:rPr>
        <w:t>m</w:t>
      </w:r>
      <w:r w:rsidR="009661D8" w:rsidRPr="00765FD4">
        <w:rPr>
          <w:rFonts w:ascii="Arial" w:hAnsi="Arial" w:cs="Arial"/>
          <w:sz w:val="24"/>
          <w:szCs w:val="24"/>
        </w:rPr>
        <w:t xml:space="preserve">ontagem”. </w:t>
      </w:r>
      <w:r w:rsidR="00052C26" w:rsidRPr="00765FD4">
        <w:rPr>
          <w:rFonts w:ascii="Arial" w:hAnsi="Arial" w:cs="Arial"/>
          <w:sz w:val="24"/>
          <w:szCs w:val="24"/>
        </w:rPr>
        <w:t>O mercado visa mostrar os valores totais de modo a refletir os prêmios realmente pagos pelos consumidores de seguros na prática.</w:t>
      </w:r>
    </w:p>
    <w:p w14:paraId="0DA99704" w14:textId="77777777" w:rsidR="00C84226" w:rsidRPr="006D79F7" w:rsidRDefault="00C84226" w:rsidP="0070052F"/>
    <w:p w14:paraId="728C73E0" w14:textId="77777777" w:rsidR="003B35C7" w:rsidRPr="006D79F7" w:rsidRDefault="003B35C7" w:rsidP="0070052F"/>
    <w:p w14:paraId="3ED6BBCB" w14:textId="77777777" w:rsidR="00BE747C" w:rsidRPr="00BE747C" w:rsidRDefault="00BE747C" w:rsidP="00BE747C"/>
    <w:p w14:paraId="35ECA780" w14:textId="77777777" w:rsidR="00087B7D" w:rsidRDefault="00087B7D"/>
    <w:sectPr w:rsidR="00087B7D" w:rsidSect="00043FDF">
      <w:footerReference w:type="default" r:id="rId11"/>
      <w:pgSz w:w="11906" w:h="16838"/>
      <w:pgMar w:top="1417" w:right="1701" w:bottom="90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A2FCD" w14:textId="77777777" w:rsidR="003B5433" w:rsidRDefault="003B5433" w:rsidP="00A3696E">
      <w:pPr>
        <w:spacing w:after="0" w:line="240" w:lineRule="auto"/>
      </w:pPr>
      <w:r>
        <w:separator/>
      </w:r>
    </w:p>
  </w:endnote>
  <w:endnote w:type="continuationSeparator" w:id="0">
    <w:p w14:paraId="227B2129" w14:textId="77777777" w:rsidR="003B5433" w:rsidRDefault="003B5433" w:rsidP="00A3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410225"/>
      <w:docPartObj>
        <w:docPartGallery w:val="Page Numbers (Bottom of Page)"/>
        <w:docPartUnique/>
      </w:docPartObj>
    </w:sdtPr>
    <w:sdtContent>
      <w:p w14:paraId="026FECDF" w14:textId="6872CC29" w:rsidR="00A3696E" w:rsidRDefault="00A3696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35C884" w14:textId="77777777" w:rsidR="00A3696E" w:rsidRDefault="00A369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B8EB3" w14:textId="77777777" w:rsidR="003B5433" w:rsidRDefault="003B5433" w:rsidP="00A3696E">
      <w:pPr>
        <w:spacing w:after="0" w:line="240" w:lineRule="auto"/>
      </w:pPr>
      <w:r>
        <w:separator/>
      </w:r>
    </w:p>
  </w:footnote>
  <w:footnote w:type="continuationSeparator" w:id="0">
    <w:p w14:paraId="66EE1086" w14:textId="77777777" w:rsidR="003B5433" w:rsidRDefault="003B5433" w:rsidP="00A3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7BC9"/>
    <w:multiLevelType w:val="hybridMultilevel"/>
    <w:tmpl w:val="642AFA5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CF12922"/>
    <w:multiLevelType w:val="hybridMultilevel"/>
    <w:tmpl w:val="5614D8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554A58"/>
    <w:multiLevelType w:val="multilevel"/>
    <w:tmpl w:val="38C41F1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  <w:bCs/>
        <w:color w:val="auto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47A4ACE"/>
    <w:multiLevelType w:val="hybridMultilevel"/>
    <w:tmpl w:val="3C68B3B2"/>
    <w:lvl w:ilvl="0" w:tplc="45484BA0">
      <w:start w:val="1"/>
      <w:numFmt w:val="decimal"/>
      <w:pStyle w:val="Esti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B365D"/>
    <w:multiLevelType w:val="hybridMultilevel"/>
    <w:tmpl w:val="8B302DA8"/>
    <w:lvl w:ilvl="0" w:tplc="CE32D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36F2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5E3B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F63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52D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0D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60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7E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C09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FC1ED0"/>
    <w:multiLevelType w:val="hybridMultilevel"/>
    <w:tmpl w:val="6E60F770"/>
    <w:lvl w:ilvl="0" w:tplc="1466D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D2B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A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B24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E9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F40F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EE3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C9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265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457D17"/>
    <w:multiLevelType w:val="multilevel"/>
    <w:tmpl w:val="C21A07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2"/>
      <w:lvlText w:val="%1.%2"/>
      <w:lvlJc w:val="left"/>
      <w:pPr>
        <w:ind w:left="1428" w:hanging="360"/>
      </w:pPr>
      <w:rPr>
        <w:rFonts w:hint="default"/>
        <w:color w:val="auto"/>
      </w:rPr>
    </w:lvl>
    <w:lvl w:ilvl="2">
      <w:start w:val="1"/>
      <w:numFmt w:val="decimal"/>
      <w:pStyle w:val="Estilo3"/>
      <w:lvlText w:val="%1.%2.%3"/>
      <w:lvlJc w:val="left"/>
      <w:pPr>
        <w:ind w:left="4548" w:hanging="720"/>
      </w:pPr>
      <w:rPr>
        <w:rFonts w:hint="default"/>
        <w:b/>
        <w:bCs w:val="0"/>
        <w:color w:val="auto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 w15:restartNumberingAfterBreak="0">
    <w:nsid w:val="32F52067"/>
    <w:multiLevelType w:val="hybridMultilevel"/>
    <w:tmpl w:val="04C08672"/>
    <w:lvl w:ilvl="0" w:tplc="A7EECEE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DFE3862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8A1E034C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CFDEF24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9AD6A3AA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532AD412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754C81E2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1BEC954A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8" w15:restartNumberingAfterBreak="0">
    <w:nsid w:val="3B1E2543"/>
    <w:multiLevelType w:val="hybridMultilevel"/>
    <w:tmpl w:val="666EFD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45A01D4"/>
    <w:multiLevelType w:val="hybridMultilevel"/>
    <w:tmpl w:val="51161CC8"/>
    <w:lvl w:ilvl="0" w:tplc="0416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0" w15:restartNumberingAfterBreak="0">
    <w:nsid w:val="47F835D7"/>
    <w:multiLevelType w:val="hybridMultilevel"/>
    <w:tmpl w:val="70DAB7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9F15F20"/>
    <w:multiLevelType w:val="hybridMultilevel"/>
    <w:tmpl w:val="052E11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6B0087"/>
    <w:multiLevelType w:val="hybridMultilevel"/>
    <w:tmpl w:val="E52A18DC"/>
    <w:lvl w:ilvl="0" w:tplc="0416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 w16cid:durableId="1791897509">
    <w:abstractNumId w:val="3"/>
  </w:num>
  <w:num w:numId="2" w16cid:durableId="2067608949">
    <w:abstractNumId w:val="5"/>
  </w:num>
  <w:num w:numId="3" w16cid:durableId="1764690464">
    <w:abstractNumId w:val="7"/>
  </w:num>
  <w:num w:numId="4" w16cid:durableId="1347908289">
    <w:abstractNumId w:val="4"/>
  </w:num>
  <w:num w:numId="5" w16cid:durableId="982469993">
    <w:abstractNumId w:val="1"/>
  </w:num>
  <w:num w:numId="6" w16cid:durableId="1309632648">
    <w:abstractNumId w:val="0"/>
  </w:num>
  <w:num w:numId="7" w16cid:durableId="168181798">
    <w:abstractNumId w:val="8"/>
  </w:num>
  <w:num w:numId="8" w16cid:durableId="1990941423">
    <w:abstractNumId w:val="11"/>
  </w:num>
  <w:num w:numId="9" w16cid:durableId="1275137836">
    <w:abstractNumId w:val="10"/>
  </w:num>
  <w:num w:numId="10" w16cid:durableId="1213735280">
    <w:abstractNumId w:val="6"/>
  </w:num>
  <w:num w:numId="11" w16cid:durableId="134371145">
    <w:abstractNumId w:val="9"/>
  </w:num>
  <w:num w:numId="12" w16cid:durableId="1844856191">
    <w:abstractNumId w:val="12"/>
  </w:num>
  <w:num w:numId="13" w16cid:durableId="172309684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7D"/>
    <w:rsid w:val="000003C5"/>
    <w:rsid w:val="00000EF9"/>
    <w:rsid w:val="0000165C"/>
    <w:rsid w:val="000022EB"/>
    <w:rsid w:val="0000487A"/>
    <w:rsid w:val="0000582F"/>
    <w:rsid w:val="000058E4"/>
    <w:rsid w:val="00007984"/>
    <w:rsid w:val="00010CCA"/>
    <w:rsid w:val="00010E22"/>
    <w:rsid w:val="0001469B"/>
    <w:rsid w:val="00015E09"/>
    <w:rsid w:val="00017586"/>
    <w:rsid w:val="0002044A"/>
    <w:rsid w:val="00021B24"/>
    <w:rsid w:val="000240D2"/>
    <w:rsid w:val="00024BBE"/>
    <w:rsid w:val="0002565D"/>
    <w:rsid w:val="00025DAD"/>
    <w:rsid w:val="00026429"/>
    <w:rsid w:val="00026B92"/>
    <w:rsid w:val="0003199A"/>
    <w:rsid w:val="00032276"/>
    <w:rsid w:val="000339A9"/>
    <w:rsid w:val="00033BA3"/>
    <w:rsid w:val="00033F3B"/>
    <w:rsid w:val="00034A0F"/>
    <w:rsid w:val="000367F1"/>
    <w:rsid w:val="00037A9F"/>
    <w:rsid w:val="00037CDE"/>
    <w:rsid w:val="00042853"/>
    <w:rsid w:val="00043B5D"/>
    <w:rsid w:val="00043FDF"/>
    <w:rsid w:val="000454C7"/>
    <w:rsid w:val="00045A4D"/>
    <w:rsid w:val="00046E1D"/>
    <w:rsid w:val="000503DC"/>
    <w:rsid w:val="000519CC"/>
    <w:rsid w:val="000529A9"/>
    <w:rsid w:val="00052C26"/>
    <w:rsid w:val="0005381E"/>
    <w:rsid w:val="00053FAD"/>
    <w:rsid w:val="00054934"/>
    <w:rsid w:val="00054AF1"/>
    <w:rsid w:val="00055D9D"/>
    <w:rsid w:val="000609BA"/>
    <w:rsid w:val="000610C7"/>
    <w:rsid w:val="000625D1"/>
    <w:rsid w:val="000642F2"/>
    <w:rsid w:val="00064499"/>
    <w:rsid w:val="0006553F"/>
    <w:rsid w:val="000655FF"/>
    <w:rsid w:val="000659E4"/>
    <w:rsid w:val="00067A0E"/>
    <w:rsid w:val="00070BCA"/>
    <w:rsid w:val="000725ED"/>
    <w:rsid w:val="00074B8C"/>
    <w:rsid w:val="00075E1D"/>
    <w:rsid w:val="00077AAD"/>
    <w:rsid w:val="00077D80"/>
    <w:rsid w:val="00080518"/>
    <w:rsid w:val="000807A0"/>
    <w:rsid w:val="00080818"/>
    <w:rsid w:val="00081FA2"/>
    <w:rsid w:val="00083061"/>
    <w:rsid w:val="000854B0"/>
    <w:rsid w:val="00086382"/>
    <w:rsid w:val="0008772A"/>
    <w:rsid w:val="00087B7D"/>
    <w:rsid w:val="00090143"/>
    <w:rsid w:val="0009236B"/>
    <w:rsid w:val="00092EC4"/>
    <w:rsid w:val="0009430F"/>
    <w:rsid w:val="000944DE"/>
    <w:rsid w:val="000952F2"/>
    <w:rsid w:val="000954E2"/>
    <w:rsid w:val="00095BCC"/>
    <w:rsid w:val="000960C0"/>
    <w:rsid w:val="000A05BC"/>
    <w:rsid w:val="000A0F64"/>
    <w:rsid w:val="000A2B54"/>
    <w:rsid w:val="000A2F46"/>
    <w:rsid w:val="000A36B2"/>
    <w:rsid w:val="000A375D"/>
    <w:rsid w:val="000B10D5"/>
    <w:rsid w:val="000B1106"/>
    <w:rsid w:val="000B178D"/>
    <w:rsid w:val="000B6297"/>
    <w:rsid w:val="000B64D0"/>
    <w:rsid w:val="000B6EF8"/>
    <w:rsid w:val="000B7F3E"/>
    <w:rsid w:val="000C1538"/>
    <w:rsid w:val="000C27DF"/>
    <w:rsid w:val="000C3330"/>
    <w:rsid w:val="000C5A97"/>
    <w:rsid w:val="000C5FB7"/>
    <w:rsid w:val="000C639B"/>
    <w:rsid w:val="000C6653"/>
    <w:rsid w:val="000C6D59"/>
    <w:rsid w:val="000D072F"/>
    <w:rsid w:val="000D1014"/>
    <w:rsid w:val="000D21B6"/>
    <w:rsid w:val="000D3443"/>
    <w:rsid w:val="000D4135"/>
    <w:rsid w:val="000D53DD"/>
    <w:rsid w:val="000E0447"/>
    <w:rsid w:val="000E0720"/>
    <w:rsid w:val="000E2C96"/>
    <w:rsid w:val="000E31F0"/>
    <w:rsid w:val="000E49DA"/>
    <w:rsid w:val="000E548B"/>
    <w:rsid w:val="000E5530"/>
    <w:rsid w:val="000E5FE5"/>
    <w:rsid w:val="000E64CB"/>
    <w:rsid w:val="000E7055"/>
    <w:rsid w:val="000E7895"/>
    <w:rsid w:val="000E7A05"/>
    <w:rsid w:val="000E7A4A"/>
    <w:rsid w:val="000E7B0B"/>
    <w:rsid w:val="000F2933"/>
    <w:rsid w:val="000F3B8F"/>
    <w:rsid w:val="000F4276"/>
    <w:rsid w:val="000F6084"/>
    <w:rsid w:val="000F6362"/>
    <w:rsid w:val="000F6793"/>
    <w:rsid w:val="000F76FE"/>
    <w:rsid w:val="00100144"/>
    <w:rsid w:val="00100F3C"/>
    <w:rsid w:val="001021B9"/>
    <w:rsid w:val="001030E9"/>
    <w:rsid w:val="00103C9D"/>
    <w:rsid w:val="0010468C"/>
    <w:rsid w:val="0010537D"/>
    <w:rsid w:val="001107B7"/>
    <w:rsid w:val="00111937"/>
    <w:rsid w:val="00113C11"/>
    <w:rsid w:val="00114E23"/>
    <w:rsid w:val="00115D40"/>
    <w:rsid w:val="00120B58"/>
    <w:rsid w:val="00121369"/>
    <w:rsid w:val="001217AE"/>
    <w:rsid w:val="00122723"/>
    <w:rsid w:val="00123E58"/>
    <w:rsid w:val="00124287"/>
    <w:rsid w:val="00125B88"/>
    <w:rsid w:val="00126394"/>
    <w:rsid w:val="0012732D"/>
    <w:rsid w:val="001304B6"/>
    <w:rsid w:val="0013104D"/>
    <w:rsid w:val="00131BE9"/>
    <w:rsid w:val="00134789"/>
    <w:rsid w:val="00134D08"/>
    <w:rsid w:val="00134FB7"/>
    <w:rsid w:val="001357AB"/>
    <w:rsid w:val="001366AA"/>
    <w:rsid w:val="001371DA"/>
    <w:rsid w:val="00140ABD"/>
    <w:rsid w:val="00140BA2"/>
    <w:rsid w:val="001411D5"/>
    <w:rsid w:val="00142689"/>
    <w:rsid w:val="00144FEC"/>
    <w:rsid w:val="0014539D"/>
    <w:rsid w:val="00145D90"/>
    <w:rsid w:val="0014606C"/>
    <w:rsid w:val="0014668B"/>
    <w:rsid w:val="0014767B"/>
    <w:rsid w:val="00147BBE"/>
    <w:rsid w:val="0015173B"/>
    <w:rsid w:val="001525D9"/>
    <w:rsid w:val="00153326"/>
    <w:rsid w:val="001540EF"/>
    <w:rsid w:val="00156898"/>
    <w:rsid w:val="00156A22"/>
    <w:rsid w:val="00156A67"/>
    <w:rsid w:val="00160149"/>
    <w:rsid w:val="001613FE"/>
    <w:rsid w:val="00163F73"/>
    <w:rsid w:val="00165741"/>
    <w:rsid w:val="00165E03"/>
    <w:rsid w:val="00165F77"/>
    <w:rsid w:val="0016675C"/>
    <w:rsid w:val="001705C2"/>
    <w:rsid w:val="0017164A"/>
    <w:rsid w:val="001727B2"/>
    <w:rsid w:val="001762DF"/>
    <w:rsid w:val="0018008E"/>
    <w:rsid w:val="00180405"/>
    <w:rsid w:val="00183F25"/>
    <w:rsid w:val="0018415B"/>
    <w:rsid w:val="00184392"/>
    <w:rsid w:val="00186951"/>
    <w:rsid w:val="001910A4"/>
    <w:rsid w:val="00191FF4"/>
    <w:rsid w:val="00192B80"/>
    <w:rsid w:val="001930D8"/>
    <w:rsid w:val="0019369B"/>
    <w:rsid w:val="00197308"/>
    <w:rsid w:val="001A0891"/>
    <w:rsid w:val="001A0C19"/>
    <w:rsid w:val="001A20AE"/>
    <w:rsid w:val="001A2DD3"/>
    <w:rsid w:val="001A47C8"/>
    <w:rsid w:val="001A7766"/>
    <w:rsid w:val="001B0E5D"/>
    <w:rsid w:val="001B101B"/>
    <w:rsid w:val="001B1254"/>
    <w:rsid w:val="001B1787"/>
    <w:rsid w:val="001B29A5"/>
    <w:rsid w:val="001B3CDD"/>
    <w:rsid w:val="001B61B8"/>
    <w:rsid w:val="001B639B"/>
    <w:rsid w:val="001B7415"/>
    <w:rsid w:val="001C1AAA"/>
    <w:rsid w:val="001C2BC2"/>
    <w:rsid w:val="001C2CDB"/>
    <w:rsid w:val="001C2F19"/>
    <w:rsid w:val="001C3129"/>
    <w:rsid w:val="001C3677"/>
    <w:rsid w:val="001C5870"/>
    <w:rsid w:val="001C6047"/>
    <w:rsid w:val="001D027D"/>
    <w:rsid w:val="001D4A24"/>
    <w:rsid w:val="001D5617"/>
    <w:rsid w:val="001D57AD"/>
    <w:rsid w:val="001D5824"/>
    <w:rsid w:val="001D640C"/>
    <w:rsid w:val="001D6B04"/>
    <w:rsid w:val="001D7AFC"/>
    <w:rsid w:val="001E00AF"/>
    <w:rsid w:val="001E2383"/>
    <w:rsid w:val="001E46C1"/>
    <w:rsid w:val="001E5462"/>
    <w:rsid w:val="001E5ACA"/>
    <w:rsid w:val="001E6D45"/>
    <w:rsid w:val="001F1BC8"/>
    <w:rsid w:val="001F3EAA"/>
    <w:rsid w:val="001F4CC9"/>
    <w:rsid w:val="001F504E"/>
    <w:rsid w:val="001F75CD"/>
    <w:rsid w:val="00201106"/>
    <w:rsid w:val="0020150A"/>
    <w:rsid w:val="00201676"/>
    <w:rsid w:val="002034B6"/>
    <w:rsid w:val="0020394F"/>
    <w:rsid w:val="00206A52"/>
    <w:rsid w:val="0020723F"/>
    <w:rsid w:val="002076C9"/>
    <w:rsid w:val="00211CDC"/>
    <w:rsid w:val="002138E0"/>
    <w:rsid w:val="00214EB6"/>
    <w:rsid w:val="0021634E"/>
    <w:rsid w:val="00216642"/>
    <w:rsid w:val="00217AA1"/>
    <w:rsid w:val="002200A3"/>
    <w:rsid w:val="00221671"/>
    <w:rsid w:val="00222E44"/>
    <w:rsid w:val="00223380"/>
    <w:rsid w:val="00223AED"/>
    <w:rsid w:val="00223B96"/>
    <w:rsid w:val="0022684B"/>
    <w:rsid w:val="002309E2"/>
    <w:rsid w:val="002320A5"/>
    <w:rsid w:val="002320F7"/>
    <w:rsid w:val="00232B29"/>
    <w:rsid w:val="00232B51"/>
    <w:rsid w:val="002347A2"/>
    <w:rsid w:val="00234BA9"/>
    <w:rsid w:val="00237130"/>
    <w:rsid w:val="00237A39"/>
    <w:rsid w:val="00237E2F"/>
    <w:rsid w:val="0024220E"/>
    <w:rsid w:val="00242A6A"/>
    <w:rsid w:val="002451F1"/>
    <w:rsid w:val="00245C05"/>
    <w:rsid w:val="002512ED"/>
    <w:rsid w:val="00251DC8"/>
    <w:rsid w:val="00254884"/>
    <w:rsid w:val="002556D7"/>
    <w:rsid w:val="002560D1"/>
    <w:rsid w:val="00260572"/>
    <w:rsid w:val="00260A3E"/>
    <w:rsid w:val="002616FE"/>
    <w:rsid w:val="00261EDB"/>
    <w:rsid w:val="00262990"/>
    <w:rsid w:val="00262FED"/>
    <w:rsid w:val="0026351E"/>
    <w:rsid w:val="00263FA7"/>
    <w:rsid w:val="002647E8"/>
    <w:rsid w:val="00264E7A"/>
    <w:rsid w:val="00265915"/>
    <w:rsid w:val="00265C0F"/>
    <w:rsid w:val="0026697B"/>
    <w:rsid w:val="002670C9"/>
    <w:rsid w:val="0027064A"/>
    <w:rsid w:val="00270D93"/>
    <w:rsid w:val="00271630"/>
    <w:rsid w:val="0027198C"/>
    <w:rsid w:val="00274304"/>
    <w:rsid w:val="0027580E"/>
    <w:rsid w:val="002759C3"/>
    <w:rsid w:val="00276354"/>
    <w:rsid w:val="00277E34"/>
    <w:rsid w:val="00283784"/>
    <w:rsid w:val="00283F3D"/>
    <w:rsid w:val="00284ED5"/>
    <w:rsid w:val="0028565B"/>
    <w:rsid w:val="00286C1B"/>
    <w:rsid w:val="002909E9"/>
    <w:rsid w:val="002919F6"/>
    <w:rsid w:val="002927DF"/>
    <w:rsid w:val="00292E60"/>
    <w:rsid w:val="00293951"/>
    <w:rsid w:val="00293FEF"/>
    <w:rsid w:val="002948A1"/>
    <w:rsid w:val="00296246"/>
    <w:rsid w:val="002A073A"/>
    <w:rsid w:val="002A0D86"/>
    <w:rsid w:val="002A11F9"/>
    <w:rsid w:val="002A518D"/>
    <w:rsid w:val="002A6833"/>
    <w:rsid w:val="002A6A16"/>
    <w:rsid w:val="002A6FC0"/>
    <w:rsid w:val="002A791E"/>
    <w:rsid w:val="002B0908"/>
    <w:rsid w:val="002B1A20"/>
    <w:rsid w:val="002B4411"/>
    <w:rsid w:val="002B49C9"/>
    <w:rsid w:val="002B67ED"/>
    <w:rsid w:val="002C3667"/>
    <w:rsid w:val="002C3957"/>
    <w:rsid w:val="002C4EC1"/>
    <w:rsid w:val="002C5FD6"/>
    <w:rsid w:val="002C6076"/>
    <w:rsid w:val="002C7080"/>
    <w:rsid w:val="002C7C53"/>
    <w:rsid w:val="002D17EE"/>
    <w:rsid w:val="002D33DF"/>
    <w:rsid w:val="002D463B"/>
    <w:rsid w:val="002D56D1"/>
    <w:rsid w:val="002D6A17"/>
    <w:rsid w:val="002D71CF"/>
    <w:rsid w:val="002E061E"/>
    <w:rsid w:val="002E2594"/>
    <w:rsid w:val="002F1A95"/>
    <w:rsid w:val="002F1BCA"/>
    <w:rsid w:val="002F240C"/>
    <w:rsid w:val="002F3C8B"/>
    <w:rsid w:val="002F54FC"/>
    <w:rsid w:val="002F5616"/>
    <w:rsid w:val="002F60F7"/>
    <w:rsid w:val="002F69C7"/>
    <w:rsid w:val="002F76D0"/>
    <w:rsid w:val="003006A5"/>
    <w:rsid w:val="0030159C"/>
    <w:rsid w:val="00301A4E"/>
    <w:rsid w:val="003023D2"/>
    <w:rsid w:val="00303285"/>
    <w:rsid w:val="00303D5F"/>
    <w:rsid w:val="00305DF4"/>
    <w:rsid w:val="0030611E"/>
    <w:rsid w:val="003066FB"/>
    <w:rsid w:val="00306752"/>
    <w:rsid w:val="00310BD8"/>
    <w:rsid w:val="0031105E"/>
    <w:rsid w:val="003117BD"/>
    <w:rsid w:val="003120B2"/>
    <w:rsid w:val="0031365E"/>
    <w:rsid w:val="003136DC"/>
    <w:rsid w:val="00317D70"/>
    <w:rsid w:val="00317F78"/>
    <w:rsid w:val="00322520"/>
    <w:rsid w:val="00323898"/>
    <w:rsid w:val="00323900"/>
    <w:rsid w:val="00324C31"/>
    <w:rsid w:val="00324FB5"/>
    <w:rsid w:val="003267F0"/>
    <w:rsid w:val="00326DEE"/>
    <w:rsid w:val="00330207"/>
    <w:rsid w:val="00330442"/>
    <w:rsid w:val="00330EC2"/>
    <w:rsid w:val="00331194"/>
    <w:rsid w:val="0033140E"/>
    <w:rsid w:val="00331A4C"/>
    <w:rsid w:val="00332BE9"/>
    <w:rsid w:val="00333F2F"/>
    <w:rsid w:val="00334FE6"/>
    <w:rsid w:val="003358BD"/>
    <w:rsid w:val="00337DDB"/>
    <w:rsid w:val="003405CA"/>
    <w:rsid w:val="003412CE"/>
    <w:rsid w:val="00347745"/>
    <w:rsid w:val="00347F59"/>
    <w:rsid w:val="003501B8"/>
    <w:rsid w:val="00352647"/>
    <w:rsid w:val="00354310"/>
    <w:rsid w:val="003560EF"/>
    <w:rsid w:val="00356725"/>
    <w:rsid w:val="00357E74"/>
    <w:rsid w:val="003606DA"/>
    <w:rsid w:val="003607B4"/>
    <w:rsid w:val="003611DC"/>
    <w:rsid w:val="00361544"/>
    <w:rsid w:val="00361EA9"/>
    <w:rsid w:val="00362A7F"/>
    <w:rsid w:val="00363475"/>
    <w:rsid w:val="00363899"/>
    <w:rsid w:val="00364D53"/>
    <w:rsid w:val="00367332"/>
    <w:rsid w:val="003701E7"/>
    <w:rsid w:val="003708F4"/>
    <w:rsid w:val="003710C6"/>
    <w:rsid w:val="00372238"/>
    <w:rsid w:val="003741DA"/>
    <w:rsid w:val="00375AE1"/>
    <w:rsid w:val="00376D97"/>
    <w:rsid w:val="00380139"/>
    <w:rsid w:val="003807A3"/>
    <w:rsid w:val="00381637"/>
    <w:rsid w:val="003819E7"/>
    <w:rsid w:val="003821A1"/>
    <w:rsid w:val="00382888"/>
    <w:rsid w:val="003839E5"/>
    <w:rsid w:val="00387179"/>
    <w:rsid w:val="00387475"/>
    <w:rsid w:val="00387C2E"/>
    <w:rsid w:val="00390109"/>
    <w:rsid w:val="00390AF3"/>
    <w:rsid w:val="00390DAF"/>
    <w:rsid w:val="00391615"/>
    <w:rsid w:val="00391642"/>
    <w:rsid w:val="00392300"/>
    <w:rsid w:val="00393154"/>
    <w:rsid w:val="00393952"/>
    <w:rsid w:val="00394303"/>
    <w:rsid w:val="0039464A"/>
    <w:rsid w:val="00395B6E"/>
    <w:rsid w:val="00395F05"/>
    <w:rsid w:val="003967FA"/>
    <w:rsid w:val="00397005"/>
    <w:rsid w:val="003A113A"/>
    <w:rsid w:val="003A1396"/>
    <w:rsid w:val="003A1545"/>
    <w:rsid w:val="003A273B"/>
    <w:rsid w:val="003A28AE"/>
    <w:rsid w:val="003A4F72"/>
    <w:rsid w:val="003A5128"/>
    <w:rsid w:val="003A5443"/>
    <w:rsid w:val="003A7B3E"/>
    <w:rsid w:val="003B150E"/>
    <w:rsid w:val="003B3240"/>
    <w:rsid w:val="003B35C7"/>
    <w:rsid w:val="003B37C2"/>
    <w:rsid w:val="003B3FA9"/>
    <w:rsid w:val="003B4035"/>
    <w:rsid w:val="003B4676"/>
    <w:rsid w:val="003B49D0"/>
    <w:rsid w:val="003B4A01"/>
    <w:rsid w:val="003B4BC3"/>
    <w:rsid w:val="003B4DCE"/>
    <w:rsid w:val="003B5433"/>
    <w:rsid w:val="003B59D3"/>
    <w:rsid w:val="003B6E97"/>
    <w:rsid w:val="003B7091"/>
    <w:rsid w:val="003C1904"/>
    <w:rsid w:val="003C4913"/>
    <w:rsid w:val="003C4B4F"/>
    <w:rsid w:val="003C52EF"/>
    <w:rsid w:val="003C6395"/>
    <w:rsid w:val="003C63CF"/>
    <w:rsid w:val="003D145F"/>
    <w:rsid w:val="003D1EA5"/>
    <w:rsid w:val="003D3840"/>
    <w:rsid w:val="003D58FF"/>
    <w:rsid w:val="003D5FE5"/>
    <w:rsid w:val="003D70A0"/>
    <w:rsid w:val="003E07CF"/>
    <w:rsid w:val="003E0DF4"/>
    <w:rsid w:val="003E0F8F"/>
    <w:rsid w:val="003E115E"/>
    <w:rsid w:val="003E29B2"/>
    <w:rsid w:val="003E3390"/>
    <w:rsid w:val="003E3B0D"/>
    <w:rsid w:val="003E6450"/>
    <w:rsid w:val="003E7431"/>
    <w:rsid w:val="003F2176"/>
    <w:rsid w:val="003F21E6"/>
    <w:rsid w:val="003F3E96"/>
    <w:rsid w:val="003F4ACC"/>
    <w:rsid w:val="003F58A2"/>
    <w:rsid w:val="003F60FB"/>
    <w:rsid w:val="004013CC"/>
    <w:rsid w:val="004065C7"/>
    <w:rsid w:val="00407F02"/>
    <w:rsid w:val="00411567"/>
    <w:rsid w:val="004120BD"/>
    <w:rsid w:val="004135DC"/>
    <w:rsid w:val="00413C5A"/>
    <w:rsid w:val="004159B5"/>
    <w:rsid w:val="00415F52"/>
    <w:rsid w:val="0041741F"/>
    <w:rsid w:val="00420688"/>
    <w:rsid w:val="00423C2E"/>
    <w:rsid w:val="00423CF5"/>
    <w:rsid w:val="00424F8F"/>
    <w:rsid w:val="00425002"/>
    <w:rsid w:val="004256DF"/>
    <w:rsid w:val="004257FF"/>
    <w:rsid w:val="004302A6"/>
    <w:rsid w:val="00432294"/>
    <w:rsid w:val="00432323"/>
    <w:rsid w:val="00433023"/>
    <w:rsid w:val="00434F19"/>
    <w:rsid w:val="0043538B"/>
    <w:rsid w:val="0043775B"/>
    <w:rsid w:val="0044004A"/>
    <w:rsid w:val="00440E45"/>
    <w:rsid w:val="00441B9A"/>
    <w:rsid w:val="00442AA9"/>
    <w:rsid w:val="004432F8"/>
    <w:rsid w:val="00444B5B"/>
    <w:rsid w:val="00446299"/>
    <w:rsid w:val="00446DE9"/>
    <w:rsid w:val="00447224"/>
    <w:rsid w:val="0044756A"/>
    <w:rsid w:val="00450CD7"/>
    <w:rsid w:val="00452502"/>
    <w:rsid w:val="004531C6"/>
    <w:rsid w:val="00453D09"/>
    <w:rsid w:val="004543AF"/>
    <w:rsid w:val="00454E90"/>
    <w:rsid w:val="004557EA"/>
    <w:rsid w:val="00465473"/>
    <w:rsid w:val="0046598D"/>
    <w:rsid w:val="0047028D"/>
    <w:rsid w:val="00471703"/>
    <w:rsid w:val="004726FD"/>
    <w:rsid w:val="00472C74"/>
    <w:rsid w:val="00473311"/>
    <w:rsid w:val="004739A1"/>
    <w:rsid w:val="00474C28"/>
    <w:rsid w:val="0047607D"/>
    <w:rsid w:val="00476EAA"/>
    <w:rsid w:val="004777BE"/>
    <w:rsid w:val="00480625"/>
    <w:rsid w:val="00481E46"/>
    <w:rsid w:val="00483017"/>
    <w:rsid w:val="00483C95"/>
    <w:rsid w:val="0048655B"/>
    <w:rsid w:val="004871E4"/>
    <w:rsid w:val="0049174F"/>
    <w:rsid w:val="004924C7"/>
    <w:rsid w:val="00493C14"/>
    <w:rsid w:val="00493D68"/>
    <w:rsid w:val="00494BBB"/>
    <w:rsid w:val="00495E32"/>
    <w:rsid w:val="00496314"/>
    <w:rsid w:val="004A0239"/>
    <w:rsid w:val="004A02C2"/>
    <w:rsid w:val="004A08C7"/>
    <w:rsid w:val="004A0FA6"/>
    <w:rsid w:val="004A1D2D"/>
    <w:rsid w:val="004A33F8"/>
    <w:rsid w:val="004A47F0"/>
    <w:rsid w:val="004B0135"/>
    <w:rsid w:val="004B0C93"/>
    <w:rsid w:val="004B12F6"/>
    <w:rsid w:val="004B15F7"/>
    <w:rsid w:val="004B1935"/>
    <w:rsid w:val="004B25B5"/>
    <w:rsid w:val="004B5246"/>
    <w:rsid w:val="004B5EB4"/>
    <w:rsid w:val="004B5F01"/>
    <w:rsid w:val="004B6E60"/>
    <w:rsid w:val="004B746B"/>
    <w:rsid w:val="004C06BD"/>
    <w:rsid w:val="004C11D4"/>
    <w:rsid w:val="004C1F1F"/>
    <w:rsid w:val="004C2AC3"/>
    <w:rsid w:val="004C4E28"/>
    <w:rsid w:val="004C5641"/>
    <w:rsid w:val="004C7AEA"/>
    <w:rsid w:val="004C7CDF"/>
    <w:rsid w:val="004D072B"/>
    <w:rsid w:val="004D0D10"/>
    <w:rsid w:val="004D0E1E"/>
    <w:rsid w:val="004D2014"/>
    <w:rsid w:val="004D2224"/>
    <w:rsid w:val="004D344C"/>
    <w:rsid w:val="004D38F5"/>
    <w:rsid w:val="004D3FD3"/>
    <w:rsid w:val="004D4059"/>
    <w:rsid w:val="004D452A"/>
    <w:rsid w:val="004D4773"/>
    <w:rsid w:val="004D4E3A"/>
    <w:rsid w:val="004D59FF"/>
    <w:rsid w:val="004D5BB5"/>
    <w:rsid w:val="004D6005"/>
    <w:rsid w:val="004D7887"/>
    <w:rsid w:val="004E0525"/>
    <w:rsid w:val="004E26F5"/>
    <w:rsid w:val="004E2752"/>
    <w:rsid w:val="004E3249"/>
    <w:rsid w:val="004E3287"/>
    <w:rsid w:val="004E5C3C"/>
    <w:rsid w:val="004E6826"/>
    <w:rsid w:val="004E6D8E"/>
    <w:rsid w:val="004E7CA3"/>
    <w:rsid w:val="004F0455"/>
    <w:rsid w:val="004F1AFD"/>
    <w:rsid w:val="004F2DC4"/>
    <w:rsid w:val="004F4442"/>
    <w:rsid w:val="004F5363"/>
    <w:rsid w:val="004F67DB"/>
    <w:rsid w:val="004F7434"/>
    <w:rsid w:val="004F7A07"/>
    <w:rsid w:val="00501D2C"/>
    <w:rsid w:val="00505437"/>
    <w:rsid w:val="0050757A"/>
    <w:rsid w:val="005077D9"/>
    <w:rsid w:val="005104F4"/>
    <w:rsid w:val="005105A2"/>
    <w:rsid w:val="0051121A"/>
    <w:rsid w:val="0051203D"/>
    <w:rsid w:val="00512AB7"/>
    <w:rsid w:val="00514C41"/>
    <w:rsid w:val="005162CE"/>
    <w:rsid w:val="005169BC"/>
    <w:rsid w:val="00517F1B"/>
    <w:rsid w:val="005204DB"/>
    <w:rsid w:val="00520762"/>
    <w:rsid w:val="005207E3"/>
    <w:rsid w:val="00522935"/>
    <w:rsid w:val="00525376"/>
    <w:rsid w:val="0052755C"/>
    <w:rsid w:val="00527B53"/>
    <w:rsid w:val="00527DFC"/>
    <w:rsid w:val="00531B7B"/>
    <w:rsid w:val="005348B8"/>
    <w:rsid w:val="00534951"/>
    <w:rsid w:val="00534CE4"/>
    <w:rsid w:val="00535A1C"/>
    <w:rsid w:val="00535FAF"/>
    <w:rsid w:val="0053651B"/>
    <w:rsid w:val="005365C5"/>
    <w:rsid w:val="00541769"/>
    <w:rsid w:val="00542317"/>
    <w:rsid w:val="00542DED"/>
    <w:rsid w:val="0054312D"/>
    <w:rsid w:val="00544D4E"/>
    <w:rsid w:val="00545D64"/>
    <w:rsid w:val="005518F6"/>
    <w:rsid w:val="00552B74"/>
    <w:rsid w:val="00553787"/>
    <w:rsid w:val="00553C7E"/>
    <w:rsid w:val="00555190"/>
    <w:rsid w:val="005554E4"/>
    <w:rsid w:val="005554F1"/>
    <w:rsid w:val="005572C1"/>
    <w:rsid w:val="00557D0E"/>
    <w:rsid w:val="005607FA"/>
    <w:rsid w:val="00562931"/>
    <w:rsid w:val="0056735E"/>
    <w:rsid w:val="00570B8B"/>
    <w:rsid w:val="00571F3E"/>
    <w:rsid w:val="00572978"/>
    <w:rsid w:val="00572BB2"/>
    <w:rsid w:val="005730E4"/>
    <w:rsid w:val="00574093"/>
    <w:rsid w:val="005744F7"/>
    <w:rsid w:val="0057478D"/>
    <w:rsid w:val="00575FAF"/>
    <w:rsid w:val="00576A5F"/>
    <w:rsid w:val="0057736D"/>
    <w:rsid w:val="00580041"/>
    <w:rsid w:val="00582CD8"/>
    <w:rsid w:val="00583A57"/>
    <w:rsid w:val="00583F1C"/>
    <w:rsid w:val="00586230"/>
    <w:rsid w:val="005870E5"/>
    <w:rsid w:val="00587244"/>
    <w:rsid w:val="00591CBA"/>
    <w:rsid w:val="0059249A"/>
    <w:rsid w:val="00596066"/>
    <w:rsid w:val="005A2A39"/>
    <w:rsid w:val="005A3B67"/>
    <w:rsid w:val="005A5BA3"/>
    <w:rsid w:val="005A5C88"/>
    <w:rsid w:val="005A6D9A"/>
    <w:rsid w:val="005A6FF6"/>
    <w:rsid w:val="005B19A8"/>
    <w:rsid w:val="005B3F70"/>
    <w:rsid w:val="005B45E6"/>
    <w:rsid w:val="005B6147"/>
    <w:rsid w:val="005C05AC"/>
    <w:rsid w:val="005C2EC6"/>
    <w:rsid w:val="005C472E"/>
    <w:rsid w:val="005C49D0"/>
    <w:rsid w:val="005C7480"/>
    <w:rsid w:val="005C7D79"/>
    <w:rsid w:val="005D0480"/>
    <w:rsid w:val="005D050E"/>
    <w:rsid w:val="005D2494"/>
    <w:rsid w:val="005D32A2"/>
    <w:rsid w:val="005D3998"/>
    <w:rsid w:val="005D49C6"/>
    <w:rsid w:val="005D4DE1"/>
    <w:rsid w:val="005D4F46"/>
    <w:rsid w:val="005D5BA2"/>
    <w:rsid w:val="005D75F3"/>
    <w:rsid w:val="005D7C51"/>
    <w:rsid w:val="005E09DF"/>
    <w:rsid w:val="005E29C0"/>
    <w:rsid w:val="005E3D99"/>
    <w:rsid w:val="005E4166"/>
    <w:rsid w:val="005E48A1"/>
    <w:rsid w:val="005E5EE1"/>
    <w:rsid w:val="005E5F0D"/>
    <w:rsid w:val="005E65F3"/>
    <w:rsid w:val="005E6EB3"/>
    <w:rsid w:val="005E76FF"/>
    <w:rsid w:val="005F2398"/>
    <w:rsid w:val="005F2906"/>
    <w:rsid w:val="005F3E90"/>
    <w:rsid w:val="005F6454"/>
    <w:rsid w:val="005F7323"/>
    <w:rsid w:val="00600770"/>
    <w:rsid w:val="00601416"/>
    <w:rsid w:val="00602452"/>
    <w:rsid w:val="00605188"/>
    <w:rsid w:val="00605E79"/>
    <w:rsid w:val="00606BD0"/>
    <w:rsid w:val="00610E09"/>
    <w:rsid w:val="006112B2"/>
    <w:rsid w:val="00611D25"/>
    <w:rsid w:val="00611DA1"/>
    <w:rsid w:val="0061257D"/>
    <w:rsid w:val="006147F1"/>
    <w:rsid w:val="00614CC5"/>
    <w:rsid w:val="00615873"/>
    <w:rsid w:val="00616C41"/>
    <w:rsid w:val="00621F49"/>
    <w:rsid w:val="00623282"/>
    <w:rsid w:val="006240AE"/>
    <w:rsid w:val="00624470"/>
    <w:rsid w:val="00624697"/>
    <w:rsid w:val="00624D82"/>
    <w:rsid w:val="00627C23"/>
    <w:rsid w:val="00632B6C"/>
    <w:rsid w:val="00633BEF"/>
    <w:rsid w:val="00634460"/>
    <w:rsid w:val="00634F25"/>
    <w:rsid w:val="006362EB"/>
    <w:rsid w:val="00637A1E"/>
    <w:rsid w:val="0064045A"/>
    <w:rsid w:val="00641191"/>
    <w:rsid w:val="006434D1"/>
    <w:rsid w:val="006440D1"/>
    <w:rsid w:val="006444A0"/>
    <w:rsid w:val="00644BA3"/>
    <w:rsid w:val="00646495"/>
    <w:rsid w:val="00646FD9"/>
    <w:rsid w:val="006479A3"/>
    <w:rsid w:val="00650356"/>
    <w:rsid w:val="00650F41"/>
    <w:rsid w:val="00651863"/>
    <w:rsid w:val="00653F08"/>
    <w:rsid w:val="00655259"/>
    <w:rsid w:val="00656475"/>
    <w:rsid w:val="00656D5F"/>
    <w:rsid w:val="006571D6"/>
    <w:rsid w:val="00657B14"/>
    <w:rsid w:val="00661A7A"/>
    <w:rsid w:val="006639CF"/>
    <w:rsid w:val="006656F5"/>
    <w:rsid w:val="00665F15"/>
    <w:rsid w:val="00666C82"/>
    <w:rsid w:val="00670E5E"/>
    <w:rsid w:val="006754B7"/>
    <w:rsid w:val="00677D7C"/>
    <w:rsid w:val="00677F28"/>
    <w:rsid w:val="00680770"/>
    <w:rsid w:val="00682447"/>
    <w:rsid w:val="00682CCB"/>
    <w:rsid w:val="00683128"/>
    <w:rsid w:val="00683F9A"/>
    <w:rsid w:val="00686EEF"/>
    <w:rsid w:val="00687533"/>
    <w:rsid w:val="006909E8"/>
    <w:rsid w:val="00690ACD"/>
    <w:rsid w:val="006927E9"/>
    <w:rsid w:val="00693587"/>
    <w:rsid w:val="00696279"/>
    <w:rsid w:val="006962B5"/>
    <w:rsid w:val="006971C6"/>
    <w:rsid w:val="006A059E"/>
    <w:rsid w:val="006A0AEB"/>
    <w:rsid w:val="006A0F3F"/>
    <w:rsid w:val="006A1683"/>
    <w:rsid w:val="006A2227"/>
    <w:rsid w:val="006A2BC8"/>
    <w:rsid w:val="006A3196"/>
    <w:rsid w:val="006A5EEF"/>
    <w:rsid w:val="006A7AE6"/>
    <w:rsid w:val="006B1CB1"/>
    <w:rsid w:val="006B273D"/>
    <w:rsid w:val="006B2909"/>
    <w:rsid w:val="006B2FC3"/>
    <w:rsid w:val="006B43CD"/>
    <w:rsid w:val="006B49C3"/>
    <w:rsid w:val="006B5040"/>
    <w:rsid w:val="006B6618"/>
    <w:rsid w:val="006B6998"/>
    <w:rsid w:val="006B7619"/>
    <w:rsid w:val="006B76EC"/>
    <w:rsid w:val="006C3620"/>
    <w:rsid w:val="006C446D"/>
    <w:rsid w:val="006C4E81"/>
    <w:rsid w:val="006C4F53"/>
    <w:rsid w:val="006C5013"/>
    <w:rsid w:val="006C6B61"/>
    <w:rsid w:val="006C6DDA"/>
    <w:rsid w:val="006D0435"/>
    <w:rsid w:val="006D0E8A"/>
    <w:rsid w:val="006D101A"/>
    <w:rsid w:val="006D1F64"/>
    <w:rsid w:val="006D22E9"/>
    <w:rsid w:val="006D4334"/>
    <w:rsid w:val="006D4C02"/>
    <w:rsid w:val="006D5DCD"/>
    <w:rsid w:val="006D5F00"/>
    <w:rsid w:val="006D6576"/>
    <w:rsid w:val="006D6786"/>
    <w:rsid w:val="006D6930"/>
    <w:rsid w:val="006D707E"/>
    <w:rsid w:val="006D7451"/>
    <w:rsid w:val="006D74C0"/>
    <w:rsid w:val="006D79F7"/>
    <w:rsid w:val="006D7B52"/>
    <w:rsid w:val="006E08BE"/>
    <w:rsid w:val="006E10AA"/>
    <w:rsid w:val="006E1C4E"/>
    <w:rsid w:val="006E38E5"/>
    <w:rsid w:val="006E4A2E"/>
    <w:rsid w:val="006E4D20"/>
    <w:rsid w:val="006E5CEC"/>
    <w:rsid w:val="006E6B67"/>
    <w:rsid w:val="006E6F73"/>
    <w:rsid w:val="006E7024"/>
    <w:rsid w:val="006F190B"/>
    <w:rsid w:val="006F1FFD"/>
    <w:rsid w:val="006F49F3"/>
    <w:rsid w:val="006F4CA0"/>
    <w:rsid w:val="006F5463"/>
    <w:rsid w:val="006F7218"/>
    <w:rsid w:val="006F76EB"/>
    <w:rsid w:val="006F7818"/>
    <w:rsid w:val="006F7B70"/>
    <w:rsid w:val="0070052F"/>
    <w:rsid w:val="00702243"/>
    <w:rsid w:val="00703C3D"/>
    <w:rsid w:val="00705B43"/>
    <w:rsid w:val="007072C9"/>
    <w:rsid w:val="00710517"/>
    <w:rsid w:val="0071054D"/>
    <w:rsid w:val="00710993"/>
    <w:rsid w:val="00710AF1"/>
    <w:rsid w:val="00711E7F"/>
    <w:rsid w:val="00712EA6"/>
    <w:rsid w:val="00714A2C"/>
    <w:rsid w:val="00714B01"/>
    <w:rsid w:val="00714BD7"/>
    <w:rsid w:val="00715040"/>
    <w:rsid w:val="00715769"/>
    <w:rsid w:val="00715C5A"/>
    <w:rsid w:val="00717BC2"/>
    <w:rsid w:val="00717DD2"/>
    <w:rsid w:val="00722446"/>
    <w:rsid w:val="00722A94"/>
    <w:rsid w:val="00724C80"/>
    <w:rsid w:val="0072525E"/>
    <w:rsid w:val="007258A5"/>
    <w:rsid w:val="007262B9"/>
    <w:rsid w:val="00727A74"/>
    <w:rsid w:val="00730259"/>
    <w:rsid w:val="00731EAD"/>
    <w:rsid w:val="00732214"/>
    <w:rsid w:val="00732B29"/>
    <w:rsid w:val="00733D26"/>
    <w:rsid w:val="007351EF"/>
    <w:rsid w:val="0073585C"/>
    <w:rsid w:val="00736EC0"/>
    <w:rsid w:val="007408ED"/>
    <w:rsid w:val="007413A6"/>
    <w:rsid w:val="00743EE5"/>
    <w:rsid w:val="00744E69"/>
    <w:rsid w:val="00745750"/>
    <w:rsid w:val="00746CAD"/>
    <w:rsid w:val="00750DCB"/>
    <w:rsid w:val="00751BAF"/>
    <w:rsid w:val="00752733"/>
    <w:rsid w:val="00752BBA"/>
    <w:rsid w:val="00753489"/>
    <w:rsid w:val="0075361C"/>
    <w:rsid w:val="00754E5D"/>
    <w:rsid w:val="00755616"/>
    <w:rsid w:val="00755F39"/>
    <w:rsid w:val="0076190B"/>
    <w:rsid w:val="00761B00"/>
    <w:rsid w:val="007623AD"/>
    <w:rsid w:val="00762880"/>
    <w:rsid w:val="00762A2E"/>
    <w:rsid w:val="00763301"/>
    <w:rsid w:val="0076336A"/>
    <w:rsid w:val="0076392D"/>
    <w:rsid w:val="00764033"/>
    <w:rsid w:val="0076527F"/>
    <w:rsid w:val="00765FD4"/>
    <w:rsid w:val="007678F0"/>
    <w:rsid w:val="00767DD0"/>
    <w:rsid w:val="0077050F"/>
    <w:rsid w:val="0077064A"/>
    <w:rsid w:val="007724E8"/>
    <w:rsid w:val="0077282A"/>
    <w:rsid w:val="007735AB"/>
    <w:rsid w:val="00773970"/>
    <w:rsid w:val="00773DA3"/>
    <w:rsid w:val="00774254"/>
    <w:rsid w:val="0077447A"/>
    <w:rsid w:val="00776A63"/>
    <w:rsid w:val="00777893"/>
    <w:rsid w:val="007816DB"/>
    <w:rsid w:val="00782220"/>
    <w:rsid w:val="00785AA0"/>
    <w:rsid w:val="007875F6"/>
    <w:rsid w:val="0078763B"/>
    <w:rsid w:val="0079036D"/>
    <w:rsid w:val="00792465"/>
    <w:rsid w:val="00793A83"/>
    <w:rsid w:val="007940B8"/>
    <w:rsid w:val="007948BE"/>
    <w:rsid w:val="007948D2"/>
    <w:rsid w:val="00794ABE"/>
    <w:rsid w:val="00794CA8"/>
    <w:rsid w:val="00796960"/>
    <w:rsid w:val="00797333"/>
    <w:rsid w:val="007A0D41"/>
    <w:rsid w:val="007A20E0"/>
    <w:rsid w:val="007A22F3"/>
    <w:rsid w:val="007A2A93"/>
    <w:rsid w:val="007A3826"/>
    <w:rsid w:val="007B0280"/>
    <w:rsid w:val="007B258D"/>
    <w:rsid w:val="007B4DD1"/>
    <w:rsid w:val="007B5E3B"/>
    <w:rsid w:val="007B6A4B"/>
    <w:rsid w:val="007B7585"/>
    <w:rsid w:val="007B7E5C"/>
    <w:rsid w:val="007C098E"/>
    <w:rsid w:val="007C1065"/>
    <w:rsid w:val="007C1498"/>
    <w:rsid w:val="007C1F15"/>
    <w:rsid w:val="007C3175"/>
    <w:rsid w:val="007C3184"/>
    <w:rsid w:val="007C33F6"/>
    <w:rsid w:val="007C38A9"/>
    <w:rsid w:val="007C66D0"/>
    <w:rsid w:val="007D0AE6"/>
    <w:rsid w:val="007D4211"/>
    <w:rsid w:val="007D49BB"/>
    <w:rsid w:val="007D4F8E"/>
    <w:rsid w:val="007D7244"/>
    <w:rsid w:val="007D7313"/>
    <w:rsid w:val="007D7A71"/>
    <w:rsid w:val="007D7CC8"/>
    <w:rsid w:val="007E2784"/>
    <w:rsid w:val="007E3A42"/>
    <w:rsid w:val="007E6042"/>
    <w:rsid w:val="007E66B0"/>
    <w:rsid w:val="007F32F6"/>
    <w:rsid w:val="007F415B"/>
    <w:rsid w:val="007F58FB"/>
    <w:rsid w:val="007F591D"/>
    <w:rsid w:val="007F6676"/>
    <w:rsid w:val="007F729A"/>
    <w:rsid w:val="00801186"/>
    <w:rsid w:val="00801C4B"/>
    <w:rsid w:val="00801CB3"/>
    <w:rsid w:val="00802407"/>
    <w:rsid w:val="00803FAA"/>
    <w:rsid w:val="00804364"/>
    <w:rsid w:val="0080629C"/>
    <w:rsid w:val="00806909"/>
    <w:rsid w:val="00806B92"/>
    <w:rsid w:val="008071A9"/>
    <w:rsid w:val="00807E23"/>
    <w:rsid w:val="008116BB"/>
    <w:rsid w:val="00811BFE"/>
    <w:rsid w:val="00812130"/>
    <w:rsid w:val="008121D9"/>
    <w:rsid w:val="00812A02"/>
    <w:rsid w:val="008145E8"/>
    <w:rsid w:val="0081545F"/>
    <w:rsid w:val="00815659"/>
    <w:rsid w:val="0081593E"/>
    <w:rsid w:val="008160C7"/>
    <w:rsid w:val="00816824"/>
    <w:rsid w:val="008173B7"/>
    <w:rsid w:val="00817C73"/>
    <w:rsid w:val="00821B1C"/>
    <w:rsid w:val="00821CDD"/>
    <w:rsid w:val="00822EA5"/>
    <w:rsid w:val="00823344"/>
    <w:rsid w:val="00825133"/>
    <w:rsid w:val="008259B5"/>
    <w:rsid w:val="00826005"/>
    <w:rsid w:val="0082639F"/>
    <w:rsid w:val="00827967"/>
    <w:rsid w:val="00830967"/>
    <w:rsid w:val="00830A35"/>
    <w:rsid w:val="00830BF5"/>
    <w:rsid w:val="00831DE9"/>
    <w:rsid w:val="00831F90"/>
    <w:rsid w:val="00831FBD"/>
    <w:rsid w:val="00832904"/>
    <w:rsid w:val="00832ADB"/>
    <w:rsid w:val="00833F41"/>
    <w:rsid w:val="008348BA"/>
    <w:rsid w:val="008349C0"/>
    <w:rsid w:val="008349D8"/>
    <w:rsid w:val="00836541"/>
    <w:rsid w:val="008365F9"/>
    <w:rsid w:val="00837C17"/>
    <w:rsid w:val="008413D5"/>
    <w:rsid w:val="008427E3"/>
    <w:rsid w:val="00842B0E"/>
    <w:rsid w:val="00845B44"/>
    <w:rsid w:val="00845C5F"/>
    <w:rsid w:val="008466AB"/>
    <w:rsid w:val="00847F38"/>
    <w:rsid w:val="00850479"/>
    <w:rsid w:val="00850DCA"/>
    <w:rsid w:val="0085146C"/>
    <w:rsid w:val="00851ADA"/>
    <w:rsid w:val="00852492"/>
    <w:rsid w:val="00853025"/>
    <w:rsid w:val="00854671"/>
    <w:rsid w:val="008547FA"/>
    <w:rsid w:val="00854B93"/>
    <w:rsid w:val="008552BC"/>
    <w:rsid w:val="008555D0"/>
    <w:rsid w:val="008563EF"/>
    <w:rsid w:val="0085711A"/>
    <w:rsid w:val="00857202"/>
    <w:rsid w:val="00857CEF"/>
    <w:rsid w:val="008600A9"/>
    <w:rsid w:val="0086061A"/>
    <w:rsid w:val="00861BD9"/>
    <w:rsid w:val="00861E6E"/>
    <w:rsid w:val="00863DFB"/>
    <w:rsid w:val="008644A9"/>
    <w:rsid w:val="00864533"/>
    <w:rsid w:val="00864F09"/>
    <w:rsid w:val="00865447"/>
    <w:rsid w:val="00865903"/>
    <w:rsid w:val="00865D15"/>
    <w:rsid w:val="00867360"/>
    <w:rsid w:val="00867689"/>
    <w:rsid w:val="00870F22"/>
    <w:rsid w:val="00874CD1"/>
    <w:rsid w:val="008757EB"/>
    <w:rsid w:val="008759EA"/>
    <w:rsid w:val="00876166"/>
    <w:rsid w:val="0087695C"/>
    <w:rsid w:val="00880C85"/>
    <w:rsid w:val="00880E2B"/>
    <w:rsid w:val="008819FD"/>
    <w:rsid w:val="008829F8"/>
    <w:rsid w:val="00883770"/>
    <w:rsid w:val="008837BA"/>
    <w:rsid w:val="00883AA5"/>
    <w:rsid w:val="008863F7"/>
    <w:rsid w:val="00891279"/>
    <w:rsid w:val="008914C3"/>
    <w:rsid w:val="00891D15"/>
    <w:rsid w:val="008942C6"/>
    <w:rsid w:val="00897DB7"/>
    <w:rsid w:val="008A04AA"/>
    <w:rsid w:val="008A1B84"/>
    <w:rsid w:val="008A1D1C"/>
    <w:rsid w:val="008A2613"/>
    <w:rsid w:val="008A28A1"/>
    <w:rsid w:val="008A2CD7"/>
    <w:rsid w:val="008A45DD"/>
    <w:rsid w:val="008A568A"/>
    <w:rsid w:val="008A5BA4"/>
    <w:rsid w:val="008A7426"/>
    <w:rsid w:val="008A7427"/>
    <w:rsid w:val="008B0517"/>
    <w:rsid w:val="008B0AA9"/>
    <w:rsid w:val="008B113F"/>
    <w:rsid w:val="008B1CC2"/>
    <w:rsid w:val="008B2260"/>
    <w:rsid w:val="008B31FA"/>
    <w:rsid w:val="008B5581"/>
    <w:rsid w:val="008B627D"/>
    <w:rsid w:val="008B6922"/>
    <w:rsid w:val="008B7016"/>
    <w:rsid w:val="008C03A0"/>
    <w:rsid w:val="008C0E37"/>
    <w:rsid w:val="008C33A4"/>
    <w:rsid w:val="008C404B"/>
    <w:rsid w:val="008D10CF"/>
    <w:rsid w:val="008D2992"/>
    <w:rsid w:val="008D48CE"/>
    <w:rsid w:val="008D4EE1"/>
    <w:rsid w:val="008D5709"/>
    <w:rsid w:val="008D5AEC"/>
    <w:rsid w:val="008D6E40"/>
    <w:rsid w:val="008D6F32"/>
    <w:rsid w:val="008D75DF"/>
    <w:rsid w:val="008E0457"/>
    <w:rsid w:val="008E04D0"/>
    <w:rsid w:val="008E099D"/>
    <w:rsid w:val="008E1ECA"/>
    <w:rsid w:val="008E23F4"/>
    <w:rsid w:val="008E41B8"/>
    <w:rsid w:val="008E4B7E"/>
    <w:rsid w:val="008E53B8"/>
    <w:rsid w:val="008E624A"/>
    <w:rsid w:val="008E6623"/>
    <w:rsid w:val="008E66A4"/>
    <w:rsid w:val="008E6EBA"/>
    <w:rsid w:val="008F32D1"/>
    <w:rsid w:val="008F338A"/>
    <w:rsid w:val="008F38A3"/>
    <w:rsid w:val="008F5C4D"/>
    <w:rsid w:val="008F5C7C"/>
    <w:rsid w:val="008F5ED6"/>
    <w:rsid w:val="008F65A5"/>
    <w:rsid w:val="008F763E"/>
    <w:rsid w:val="008F7B00"/>
    <w:rsid w:val="008F7D6D"/>
    <w:rsid w:val="0090218C"/>
    <w:rsid w:val="009058C2"/>
    <w:rsid w:val="00906132"/>
    <w:rsid w:val="009069A7"/>
    <w:rsid w:val="00906B26"/>
    <w:rsid w:val="00906C83"/>
    <w:rsid w:val="009073E8"/>
    <w:rsid w:val="0090777C"/>
    <w:rsid w:val="00907C06"/>
    <w:rsid w:val="0091062A"/>
    <w:rsid w:val="00911693"/>
    <w:rsid w:val="00911C3C"/>
    <w:rsid w:val="00912266"/>
    <w:rsid w:val="0091271B"/>
    <w:rsid w:val="00913911"/>
    <w:rsid w:val="00913D6C"/>
    <w:rsid w:val="009150F2"/>
    <w:rsid w:val="009175A4"/>
    <w:rsid w:val="009201FA"/>
    <w:rsid w:val="00920E52"/>
    <w:rsid w:val="00924CE1"/>
    <w:rsid w:val="00925E10"/>
    <w:rsid w:val="00926D3F"/>
    <w:rsid w:val="0092720D"/>
    <w:rsid w:val="00931341"/>
    <w:rsid w:val="00932142"/>
    <w:rsid w:val="009336AF"/>
    <w:rsid w:val="00933E3A"/>
    <w:rsid w:val="0093627E"/>
    <w:rsid w:val="0094015E"/>
    <w:rsid w:val="009435E7"/>
    <w:rsid w:val="00943D86"/>
    <w:rsid w:val="00945004"/>
    <w:rsid w:val="00951871"/>
    <w:rsid w:val="0095216C"/>
    <w:rsid w:val="00952DD1"/>
    <w:rsid w:val="00956B45"/>
    <w:rsid w:val="00960432"/>
    <w:rsid w:val="00960D53"/>
    <w:rsid w:val="00962A22"/>
    <w:rsid w:val="00962E2A"/>
    <w:rsid w:val="00962E50"/>
    <w:rsid w:val="00962F7F"/>
    <w:rsid w:val="00963D9C"/>
    <w:rsid w:val="0096505A"/>
    <w:rsid w:val="009652FD"/>
    <w:rsid w:val="009661D8"/>
    <w:rsid w:val="0096632A"/>
    <w:rsid w:val="009670C5"/>
    <w:rsid w:val="00972916"/>
    <w:rsid w:val="00974A57"/>
    <w:rsid w:val="00976D78"/>
    <w:rsid w:val="00981239"/>
    <w:rsid w:val="00982376"/>
    <w:rsid w:val="00982606"/>
    <w:rsid w:val="00982D30"/>
    <w:rsid w:val="00983A4C"/>
    <w:rsid w:val="00985ABE"/>
    <w:rsid w:val="00985BB1"/>
    <w:rsid w:val="00985D8E"/>
    <w:rsid w:val="009862D2"/>
    <w:rsid w:val="00986899"/>
    <w:rsid w:val="0098710F"/>
    <w:rsid w:val="00987995"/>
    <w:rsid w:val="00990EA8"/>
    <w:rsid w:val="0099151C"/>
    <w:rsid w:val="0099156F"/>
    <w:rsid w:val="009915A8"/>
    <w:rsid w:val="00992F91"/>
    <w:rsid w:val="0099333D"/>
    <w:rsid w:val="009949AE"/>
    <w:rsid w:val="00996126"/>
    <w:rsid w:val="00996163"/>
    <w:rsid w:val="009969B9"/>
    <w:rsid w:val="0099775F"/>
    <w:rsid w:val="009977EE"/>
    <w:rsid w:val="00997901"/>
    <w:rsid w:val="00997EE0"/>
    <w:rsid w:val="009A15E9"/>
    <w:rsid w:val="009A1E53"/>
    <w:rsid w:val="009A5093"/>
    <w:rsid w:val="009A5AA0"/>
    <w:rsid w:val="009B043B"/>
    <w:rsid w:val="009B04CE"/>
    <w:rsid w:val="009B0CF8"/>
    <w:rsid w:val="009B19C2"/>
    <w:rsid w:val="009B26BD"/>
    <w:rsid w:val="009B2CCC"/>
    <w:rsid w:val="009B3268"/>
    <w:rsid w:val="009B43EE"/>
    <w:rsid w:val="009C180B"/>
    <w:rsid w:val="009C1853"/>
    <w:rsid w:val="009C2D9B"/>
    <w:rsid w:val="009C3140"/>
    <w:rsid w:val="009C3CD0"/>
    <w:rsid w:val="009C7617"/>
    <w:rsid w:val="009D24E9"/>
    <w:rsid w:val="009D2848"/>
    <w:rsid w:val="009D2CF0"/>
    <w:rsid w:val="009D375A"/>
    <w:rsid w:val="009D3C87"/>
    <w:rsid w:val="009D7124"/>
    <w:rsid w:val="009E0EF2"/>
    <w:rsid w:val="009E163D"/>
    <w:rsid w:val="009E1D89"/>
    <w:rsid w:val="009E2C18"/>
    <w:rsid w:val="009E44CE"/>
    <w:rsid w:val="009E6A06"/>
    <w:rsid w:val="009E6EC6"/>
    <w:rsid w:val="009F030C"/>
    <w:rsid w:val="009F0BEB"/>
    <w:rsid w:val="009F13C9"/>
    <w:rsid w:val="009F3561"/>
    <w:rsid w:val="009F48E1"/>
    <w:rsid w:val="009F57C9"/>
    <w:rsid w:val="009F57FD"/>
    <w:rsid w:val="009F58FB"/>
    <w:rsid w:val="009F5E3D"/>
    <w:rsid w:val="00A011D6"/>
    <w:rsid w:val="00A01720"/>
    <w:rsid w:val="00A02A0F"/>
    <w:rsid w:val="00A02A2A"/>
    <w:rsid w:val="00A0349B"/>
    <w:rsid w:val="00A03587"/>
    <w:rsid w:val="00A03D34"/>
    <w:rsid w:val="00A0424A"/>
    <w:rsid w:val="00A07312"/>
    <w:rsid w:val="00A111E9"/>
    <w:rsid w:val="00A11713"/>
    <w:rsid w:val="00A12603"/>
    <w:rsid w:val="00A12B59"/>
    <w:rsid w:val="00A142BF"/>
    <w:rsid w:val="00A15DF2"/>
    <w:rsid w:val="00A16353"/>
    <w:rsid w:val="00A17C9B"/>
    <w:rsid w:val="00A2189D"/>
    <w:rsid w:val="00A23B60"/>
    <w:rsid w:val="00A23F74"/>
    <w:rsid w:val="00A23F8B"/>
    <w:rsid w:val="00A25508"/>
    <w:rsid w:val="00A25D6C"/>
    <w:rsid w:val="00A26A23"/>
    <w:rsid w:val="00A26EC2"/>
    <w:rsid w:val="00A270BA"/>
    <w:rsid w:val="00A3093B"/>
    <w:rsid w:val="00A3182E"/>
    <w:rsid w:val="00A33FF8"/>
    <w:rsid w:val="00A348B8"/>
    <w:rsid w:val="00A353E5"/>
    <w:rsid w:val="00A35A08"/>
    <w:rsid w:val="00A36760"/>
    <w:rsid w:val="00A3696E"/>
    <w:rsid w:val="00A36D68"/>
    <w:rsid w:val="00A371B6"/>
    <w:rsid w:val="00A376F3"/>
    <w:rsid w:val="00A37BF7"/>
    <w:rsid w:val="00A40320"/>
    <w:rsid w:val="00A40654"/>
    <w:rsid w:val="00A411B4"/>
    <w:rsid w:val="00A41538"/>
    <w:rsid w:val="00A427FA"/>
    <w:rsid w:val="00A43008"/>
    <w:rsid w:val="00A43364"/>
    <w:rsid w:val="00A504B2"/>
    <w:rsid w:val="00A50557"/>
    <w:rsid w:val="00A51FAB"/>
    <w:rsid w:val="00A52232"/>
    <w:rsid w:val="00A52B7C"/>
    <w:rsid w:val="00A55EA6"/>
    <w:rsid w:val="00A568D3"/>
    <w:rsid w:val="00A5725F"/>
    <w:rsid w:val="00A60235"/>
    <w:rsid w:val="00A6111E"/>
    <w:rsid w:val="00A6205E"/>
    <w:rsid w:val="00A63649"/>
    <w:rsid w:val="00A637F8"/>
    <w:rsid w:val="00A644B3"/>
    <w:rsid w:val="00A647D2"/>
    <w:rsid w:val="00A65A2E"/>
    <w:rsid w:val="00A706D9"/>
    <w:rsid w:val="00A70F0E"/>
    <w:rsid w:val="00A71913"/>
    <w:rsid w:val="00A71CC9"/>
    <w:rsid w:val="00A72E99"/>
    <w:rsid w:val="00A7398E"/>
    <w:rsid w:val="00A76014"/>
    <w:rsid w:val="00A76F73"/>
    <w:rsid w:val="00A77F3C"/>
    <w:rsid w:val="00A80402"/>
    <w:rsid w:val="00A81890"/>
    <w:rsid w:val="00A81E5C"/>
    <w:rsid w:val="00A8441E"/>
    <w:rsid w:val="00A854C9"/>
    <w:rsid w:val="00A90285"/>
    <w:rsid w:val="00A913A5"/>
    <w:rsid w:val="00A91912"/>
    <w:rsid w:val="00A923D4"/>
    <w:rsid w:val="00A92822"/>
    <w:rsid w:val="00A92C46"/>
    <w:rsid w:val="00A945D0"/>
    <w:rsid w:val="00A94E75"/>
    <w:rsid w:val="00AA0805"/>
    <w:rsid w:val="00AA0865"/>
    <w:rsid w:val="00AA2C80"/>
    <w:rsid w:val="00AA3357"/>
    <w:rsid w:val="00AA3E1A"/>
    <w:rsid w:val="00AA441B"/>
    <w:rsid w:val="00AA44EB"/>
    <w:rsid w:val="00AA5A1C"/>
    <w:rsid w:val="00AA5DBE"/>
    <w:rsid w:val="00AA6A46"/>
    <w:rsid w:val="00AA6F9C"/>
    <w:rsid w:val="00AB0C77"/>
    <w:rsid w:val="00AB152F"/>
    <w:rsid w:val="00AB18B5"/>
    <w:rsid w:val="00AB3651"/>
    <w:rsid w:val="00AB43E8"/>
    <w:rsid w:val="00AB6A0B"/>
    <w:rsid w:val="00AC29B5"/>
    <w:rsid w:val="00AC5D1E"/>
    <w:rsid w:val="00AC6B7B"/>
    <w:rsid w:val="00AD03B6"/>
    <w:rsid w:val="00AD1624"/>
    <w:rsid w:val="00AD33B2"/>
    <w:rsid w:val="00AD3C6E"/>
    <w:rsid w:val="00AD3E92"/>
    <w:rsid w:val="00AD4200"/>
    <w:rsid w:val="00AD57B7"/>
    <w:rsid w:val="00AD63D1"/>
    <w:rsid w:val="00AD6DA6"/>
    <w:rsid w:val="00AD7696"/>
    <w:rsid w:val="00AD7CAB"/>
    <w:rsid w:val="00AE06D6"/>
    <w:rsid w:val="00AE1468"/>
    <w:rsid w:val="00AE1AF7"/>
    <w:rsid w:val="00AE1BC7"/>
    <w:rsid w:val="00AE46FE"/>
    <w:rsid w:val="00AE57D2"/>
    <w:rsid w:val="00AE5B17"/>
    <w:rsid w:val="00AE5DD2"/>
    <w:rsid w:val="00AE6E41"/>
    <w:rsid w:val="00AE6EC2"/>
    <w:rsid w:val="00AF130A"/>
    <w:rsid w:val="00AF35CC"/>
    <w:rsid w:val="00AF4EDB"/>
    <w:rsid w:val="00B000F3"/>
    <w:rsid w:val="00B0196D"/>
    <w:rsid w:val="00B026B6"/>
    <w:rsid w:val="00B03DB1"/>
    <w:rsid w:val="00B05C30"/>
    <w:rsid w:val="00B06582"/>
    <w:rsid w:val="00B06DF1"/>
    <w:rsid w:val="00B108C6"/>
    <w:rsid w:val="00B12AB1"/>
    <w:rsid w:val="00B14D28"/>
    <w:rsid w:val="00B1658B"/>
    <w:rsid w:val="00B16D67"/>
    <w:rsid w:val="00B1702E"/>
    <w:rsid w:val="00B178E0"/>
    <w:rsid w:val="00B17F4C"/>
    <w:rsid w:val="00B21EFA"/>
    <w:rsid w:val="00B30656"/>
    <w:rsid w:val="00B321B7"/>
    <w:rsid w:val="00B32CD6"/>
    <w:rsid w:val="00B3323C"/>
    <w:rsid w:val="00B33662"/>
    <w:rsid w:val="00B33942"/>
    <w:rsid w:val="00B33CDC"/>
    <w:rsid w:val="00B354B3"/>
    <w:rsid w:val="00B35FA3"/>
    <w:rsid w:val="00B409FA"/>
    <w:rsid w:val="00B40DF9"/>
    <w:rsid w:val="00B42174"/>
    <w:rsid w:val="00B43379"/>
    <w:rsid w:val="00B44328"/>
    <w:rsid w:val="00B4568B"/>
    <w:rsid w:val="00B47246"/>
    <w:rsid w:val="00B50479"/>
    <w:rsid w:val="00B505FE"/>
    <w:rsid w:val="00B5133B"/>
    <w:rsid w:val="00B52085"/>
    <w:rsid w:val="00B53964"/>
    <w:rsid w:val="00B541AB"/>
    <w:rsid w:val="00B54C05"/>
    <w:rsid w:val="00B54CDE"/>
    <w:rsid w:val="00B550CD"/>
    <w:rsid w:val="00B574C8"/>
    <w:rsid w:val="00B611E3"/>
    <w:rsid w:val="00B6331D"/>
    <w:rsid w:val="00B641E4"/>
    <w:rsid w:val="00B64EC7"/>
    <w:rsid w:val="00B65052"/>
    <w:rsid w:val="00B66448"/>
    <w:rsid w:val="00B67099"/>
    <w:rsid w:val="00B67108"/>
    <w:rsid w:val="00B71017"/>
    <w:rsid w:val="00B72C7B"/>
    <w:rsid w:val="00B74201"/>
    <w:rsid w:val="00B74860"/>
    <w:rsid w:val="00B74D93"/>
    <w:rsid w:val="00B7676E"/>
    <w:rsid w:val="00B77ABB"/>
    <w:rsid w:val="00B81339"/>
    <w:rsid w:val="00B814EB"/>
    <w:rsid w:val="00B832F9"/>
    <w:rsid w:val="00B84166"/>
    <w:rsid w:val="00B845CB"/>
    <w:rsid w:val="00B84832"/>
    <w:rsid w:val="00B8559F"/>
    <w:rsid w:val="00B8687B"/>
    <w:rsid w:val="00B873AD"/>
    <w:rsid w:val="00B90E63"/>
    <w:rsid w:val="00B9128A"/>
    <w:rsid w:val="00B91BAF"/>
    <w:rsid w:val="00B91BB6"/>
    <w:rsid w:val="00B923D1"/>
    <w:rsid w:val="00B92CDA"/>
    <w:rsid w:val="00B932A2"/>
    <w:rsid w:val="00B93454"/>
    <w:rsid w:val="00B97108"/>
    <w:rsid w:val="00B97873"/>
    <w:rsid w:val="00B97D6D"/>
    <w:rsid w:val="00BA06C3"/>
    <w:rsid w:val="00BA0C11"/>
    <w:rsid w:val="00BA199B"/>
    <w:rsid w:val="00BA1E86"/>
    <w:rsid w:val="00BA3826"/>
    <w:rsid w:val="00BA4F1A"/>
    <w:rsid w:val="00BA6CD9"/>
    <w:rsid w:val="00BA705C"/>
    <w:rsid w:val="00BB02D2"/>
    <w:rsid w:val="00BB0B49"/>
    <w:rsid w:val="00BB0E69"/>
    <w:rsid w:val="00BB1DAB"/>
    <w:rsid w:val="00BB3A52"/>
    <w:rsid w:val="00BB43A3"/>
    <w:rsid w:val="00BB6C5A"/>
    <w:rsid w:val="00BC1925"/>
    <w:rsid w:val="00BC1B62"/>
    <w:rsid w:val="00BC306D"/>
    <w:rsid w:val="00BC375F"/>
    <w:rsid w:val="00BC5F14"/>
    <w:rsid w:val="00BC7D76"/>
    <w:rsid w:val="00BD18A4"/>
    <w:rsid w:val="00BD32E0"/>
    <w:rsid w:val="00BD3788"/>
    <w:rsid w:val="00BD4033"/>
    <w:rsid w:val="00BD4F1C"/>
    <w:rsid w:val="00BD5B86"/>
    <w:rsid w:val="00BD6779"/>
    <w:rsid w:val="00BD6834"/>
    <w:rsid w:val="00BD74B9"/>
    <w:rsid w:val="00BE00D4"/>
    <w:rsid w:val="00BE3622"/>
    <w:rsid w:val="00BE44E6"/>
    <w:rsid w:val="00BE6203"/>
    <w:rsid w:val="00BE6467"/>
    <w:rsid w:val="00BE6EC3"/>
    <w:rsid w:val="00BE70FB"/>
    <w:rsid w:val="00BE747C"/>
    <w:rsid w:val="00BE74D3"/>
    <w:rsid w:val="00BF0027"/>
    <w:rsid w:val="00BF0A40"/>
    <w:rsid w:val="00BF194C"/>
    <w:rsid w:val="00BF1DD5"/>
    <w:rsid w:val="00BF2699"/>
    <w:rsid w:val="00BF2834"/>
    <w:rsid w:val="00BF36DB"/>
    <w:rsid w:val="00BF3792"/>
    <w:rsid w:val="00BF3A72"/>
    <w:rsid w:val="00BF5E80"/>
    <w:rsid w:val="00C002A3"/>
    <w:rsid w:val="00C008D0"/>
    <w:rsid w:val="00C00DBB"/>
    <w:rsid w:val="00C02854"/>
    <w:rsid w:val="00C037CA"/>
    <w:rsid w:val="00C03E2C"/>
    <w:rsid w:val="00C043AA"/>
    <w:rsid w:val="00C046B0"/>
    <w:rsid w:val="00C04732"/>
    <w:rsid w:val="00C04B74"/>
    <w:rsid w:val="00C0544A"/>
    <w:rsid w:val="00C05EFC"/>
    <w:rsid w:val="00C06FC9"/>
    <w:rsid w:val="00C07E5D"/>
    <w:rsid w:val="00C10277"/>
    <w:rsid w:val="00C1077A"/>
    <w:rsid w:val="00C10C50"/>
    <w:rsid w:val="00C13119"/>
    <w:rsid w:val="00C138D5"/>
    <w:rsid w:val="00C14198"/>
    <w:rsid w:val="00C178E5"/>
    <w:rsid w:val="00C17A30"/>
    <w:rsid w:val="00C20266"/>
    <w:rsid w:val="00C20A74"/>
    <w:rsid w:val="00C20CAF"/>
    <w:rsid w:val="00C23F51"/>
    <w:rsid w:val="00C24440"/>
    <w:rsid w:val="00C25D7C"/>
    <w:rsid w:val="00C312C1"/>
    <w:rsid w:val="00C31815"/>
    <w:rsid w:val="00C31FD4"/>
    <w:rsid w:val="00C3213D"/>
    <w:rsid w:val="00C32307"/>
    <w:rsid w:val="00C337A6"/>
    <w:rsid w:val="00C4274F"/>
    <w:rsid w:val="00C42966"/>
    <w:rsid w:val="00C42B7C"/>
    <w:rsid w:val="00C43C67"/>
    <w:rsid w:val="00C4559F"/>
    <w:rsid w:val="00C46DF5"/>
    <w:rsid w:val="00C53B80"/>
    <w:rsid w:val="00C53F1E"/>
    <w:rsid w:val="00C54374"/>
    <w:rsid w:val="00C5546D"/>
    <w:rsid w:val="00C55CF3"/>
    <w:rsid w:val="00C55DF2"/>
    <w:rsid w:val="00C56D6B"/>
    <w:rsid w:val="00C6566A"/>
    <w:rsid w:val="00C6748E"/>
    <w:rsid w:val="00C679ED"/>
    <w:rsid w:val="00C67F2B"/>
    <w:rsid w:val="00C70A8F"/>
    <w:rsid w:val="00C70DDD"/>
    <w:rsid w:val="00C7191E"/>
    <w:rsid w:val="00C7262E"/>
    <w:rsid w:val="00C72FB6"/>
    <w:rsid w:val="00C732BD"/>
    <w:rsid w:val="00C732DC"/>
    <w:rsid w:val="00C748F0"/>
    <w:rsid w:val="00C74970"/>
    <w:rsid w:val="00C757B1"/>
    <w:rsid w:val="00C75963"/>
    <w:rsid w:val="00C759C7"/>
    <w:rsid w:val="00C8007F"/>
    <w:rsid w:val="00C81DB1"/>
    <w:rsid w:val="00C82795"/>
    <w:rsid w:val="00C83099"/>
    <w:rsid w:val="00C84226"/>
    <w:rsid w:val="00C85B40"/>
    <w:rsid w:val="00C85B60"/>
    <w:rsid w:val="00C86AF2"/>
    <w:rsid w:val="00C86D30"/>
    <w:rsid w:val="00C9093A"/>
    <w:rsid w:val="00C914B1"/>
    <w:rsid w:val="00C9167E"/>
    <w:rsid w:val="00C92857"/>
    <w:rsid w:val="00C92FEB"/>
    <w:rsid w:val="00C9310E"/>
    <w:rsid w:val="00C93230"/>
    <w:rsid w:val="00C93B44"/>
    <w:rsid w:val="00C95A80"/>
    <w:rsid w:val="00C964EA"/>
    <w:rsid w:val="00C96587"/>
    <w:rsid w:val="00C9666C"/>
    <w:rsid w:val="00C976B9"/>
    <w:rsid w:val="00CA0560"/>
    <w:rsid w:val="00CA1CC7"/>
    <w:rsid w:val="00CA1D1C"/>
    <w:rsid w:val="00CA3ED2"/>
    <w:rsid w:val="00CA3F78"/>
    <w:rsid w:val="00CA45FF"/>
    <w:rsid w:val="00CA470F"/>
    <w:rsid w:val="00CA48CF"/>
    <w:rsid w:val="00CA527C"/>
    <w:rsid w:val="00CA7F07"/>
    <w:rsid w:val="00CB2484"/>
    <w:rsid w:val="00CB4B8B"/>
    <w:rsid w:val="00CB586C"/>
    <w:rsid w:val="00CC0395"/>
    <w:rsid w:val="00CC0A9D"/>
    <w:rsid w:val="00CC0BB0"/>
    <w:rsid w:val="00CC161D"/>
    <w:rsid w:val="00CC27A1"/>
    <w:rsid w:val="00CC27D0"/>
    <w:rsid w:val="00CC3529"/>
    <w:rsid w:val="00CC52D5"/>
    <w:rsid w:val="00CC577D"/>
    <w:rsid w:val="00CC5920"/>
    <w:rsid w:val="00CC6C17"/>
    <w:rsid w:val="00CC6CEC"/>
    <w:rsid w:val="00CC7B9F"/>
    <w:rsid w:val="00CD10CD"/>
    <w:rsid w:val="00CD11EC"/>
    <w:rsid w:val="00CD2F9F"/>
    <w:rsid w:val="00CD3A5D"/>
    <w:rsid w:val="00CD453A"/>
    <w:rsid w:val="00CD568A"/>
    <w:rsid w:val="00CD597B"/>
    <w:rsid w:val="00CD6478"/>
    <w:rsid w:val="00CD6798"/>
    <w:rsid w:val="00CE0E17"/>
    <w:rsid w:val="00CE2075"/>
    <w:rsid w:val="00CE2B3B"/>
    <w:rsid w:val="00CE31FF"/>
    <w:rsid w:val="00CE4499"/>
    <w:rsid w:val="00CE5A75"/>
    <w:rsid w:val="00CE5C29"/>
    <w:rsid w:val="00CE608A"/>
    <w:rsid w:val="00CE61B2"/>
    <w:rsid w:val="00CE7668"/>
    <w:rsid w:val="00CE7F2C"/>
    <w:rsid w:val="00CF0D7D"/>
    <w:rsid w:val="00CF23C1"/>
    <w:rsid w:val="00CF2C8C"/>
    <w:rsid w:val="00CF4A77"/>
    <w:rsid w:val="00CF56B8"/>
    <w:rsid w:val="00CF645B"/>
    <w:rsid w:val="00CF676E"/>
    <w:rsid w:val="00CF6AFA"/>
    <w:rsid w:val="00CF6B18"/>
    <w:rsid w:val="00CF6B4C"/>
    <w:rsid w:val="00CF6D2B"/>
    <w:rsid w:val="00CF7515"/>
    <w:rsid w:val="00CF755E"/>
    <w:rsid w:val="00CF7931"/>
    <w:rsid w:val="00D00125"/>
    <w:rsid w:val="00D00A7C"/>
    <w:rsid w:val="00D00B31"/>
    <w:rsid w:val="00D0100D"/>
    <w:rsid w:val="00D034B9"/>
    <w:rsid w:val="00D0425C"/>
    <w:rsid w:val="00D047CC"/>
    <w:rsid w:val="00D04A6A"/>
    <w:rsid w:val="00D064CC"/>
    <w:rsid w:val="00D066D9"/>
    <w:rsid w:val="00D07DDD"/>
    <w:rsid w:val="00D13387"/>
    <w:rsid w:val="00D148B3"/>
    <w:rsid w:val="00D1536C"/>
    <w:rsid w:val="00D15913"/>
    <w:rsid w:val="00D16A1F"/>
    <w:rsid w:val="00D17222"/>
    <w:rsid w:val="00D17ED1"/>
    <w:rsid w:val="00D17FC3"/>
    <w:rsid w:val="00D20C2D"/>
    <w:rsid w:val="00D226CB"/>
    <w:rsid w:val="00D23138"/>
    <w:rsid w:val="00D24C91"/>
    <w:rsid w:val="00D25E3B"/>
    <w:rsid w:val="00D26900"/>
    <w:rsid w:val="00D26ED5"/>
    <w:rsid w:val="00D270FE"/>
    <w:rsid w:val="00D27306"/>
    <w:rsid w:val="00D27F86"/>
    <w:rsid w:val="00D30C31"/>
    <w:rsid w:val="00D30E15"/>
    <w:rsid w:val="00D311B2"/>
    <w:rsid w:val="00D31DEC"/>
    <w:rsid w:val="00D330C8"/>
    <w:rsid w:val="00D33AEA"/>
    <w:rsid w:val="00D35D46"/>
    <w:rsid w:val="00D35DEB"/>
    <w:rsid w:val="00D36386"/>
    <w:rsid w:val="00D36625"/>
    <w:rsid w:val="00D36C38"/>
    <w:rsid w:val="00D3702C"/>
    <w:rsid w:val="00D42ABB"/>
    <w:rsid w:val="00D42B89"/>
    <w:rsid w:val="00D43882"/>
    <w:rsid w:val="00D43909"/>
    <w:rsid w:val="00D44677"/>
    <w:rsid w:val="00D47297"/>
    <w:rsid w:val="00D505E0"/>
    <w:rsid w:val="00D5160E"/>
    <w:rsid w:val="00D519A9"/>
    <w:rsid w:val="00D51BCC"/>
    <w:rsid w:val="00D52BE5"/>
    <w:rsid w:val="00D52E67"/>
    <w:rsid w:val="00D546EB"/>
    <w:rsid w:val="00D54B28"/>
    <w:rsid w:val="00D54D73"/>
    <w:rsid w:val="00D56042"/>
    <w:rsid w:val="00D564F1"/>
    <w:rsid w:val="00D57795"/>
    <w:rsid w:val="00D6085D"/>
    <w:rsid w:val="00D612DA"/>
    <w:rsid w:val="00D62B16"/>
    <w:rsid w:val="00D63CDA"/>
    <w:rsid w:val="00D64932"/>
    <w:rsid w:val="00D64F17"/>
    <w:rsid w:val="00D6684D"/>
    <w:rsid w:val="00D66904"/>
    <w:rsid w:val="00D72FAA"/>
    <w:rsid w:val="00D73075"/>
    <w:rsid w:val="00D732A3"/>
    <w:rsid w:val="00D73CC9"/>
    <w:rsid w:val="00D809AD"/>
    <w:rsid w:val="00D81029"/>
    <w:rsid w:val="00D83B30"/>
    <w:rsid w:val="00D851BC"/>
    <w:rsid w:val="00D86432"/>
    <w:rsid w:val="00D91882"/>
    <w:rsid w:val="00D91A39"/>
    <w:rsid w:val="00D91AE3"/>
    <w:rsid w:val="00D922D4"/>
    <w:rsid w:val="00D9322D"/>
    <w:rsid w:val="00D938DC"/>
    <w:rsid w:val="00D93D08"/>
    <w:rsid w:val="00D9436A"/>
    <w:rsid w:val="00D945AA"/>
    <w:rsid w:val="00D954BB"/>
    <w:rsid w:val="00D95861"/>
    <w:rsid w:val="00D9601F"/>
    <w:rsid w:val="00D96C45"/>
    <w:rsid w:val="00D96FA2"/>
    <w:rsid w:val="00D97A65"/>
    <w:rsid w:val="00D97BDE"/>
    <w:rsid w:val="00DA0AEC"/>
    <w:rsid w:val="00DA52E9"/>
    <w:rsid w:val="00DA6159"/>
    <w:rsid w:val="00DA66DE"/>
    <w:rsid w:val="00DA6DB6"/>
    <w:rsid w:val="00DB04BE"/>
    <w:rsid w:val="00DB17F2"/>
    <w:rsid w:val="00DB61B8"/>
    <w:rsid w:val="00DB71C5"/>
    <w:rsid w:val="00DC0BF5"/>
    <w:rsid w:val="00DC1F97"/>
    <w:rsid w:val="00DC4CEE"/>
    <w:rsid w:val="00DC62B2"/>
    <w:rsid w:val="00DC67A9"/>
    <w:rsid w:val="00DC6F7E"/>
    <w:rsid w:val="00DC713E"/>
    <w:rsid w:val="00DC7290"/>
    <w:rsid w:val="00DD071E"/>
    <w:rsid w:val="00DD0DEE"/>
    <w:rsid w:val="00DD1318"/>
    <w:rsid w:val="00DD18A4"/>
    <w:rsid w:val="00DD2064"/>
    <w:rsid w:val="00DD3DEB"/>
    <w:rsid w:val="00DD5858"/>
    <w:rsid w:val="00DD7DED"/>
    <w:rsid w:val="00DE0501"/>
    <w:rsid w:val="00DE14DE"/>
    <w:rsid w:val="00DE2E88"/>
    <w:rsid w:val="00DF0E64"/>
    <w:rsid w:val="00DF0FAB"/>
    <w:rsid w:val="00DF16C9"/>
    <w:rsid w:val="00DF1B10"/>
    <w:rsid w:val="00DF353F"/>
    <w:rsid w:val="00DF47D2"/>
    <w:rsid w:val="00DF5A76"/>
    <w:rsid w:val="00DF6F3C"/>
    <w:rsid w:val="00E00F28"/>
    <w:rsid w:val="00E013DC"/>
    <w:rsid w:val="00E01BD7"/>
    <w:rsid w:val="00E03D88"/>
    <w:rsid w:val="00E05D02"/>
    <w:rsid w:val="00E05DC2"/>
    <w:rsid w:val="00E05E05"/>
    <w:rsid w:val="00E06B04"/>
    <w:rsid w:val="00E06CE8"/>
    <w:rsid w:val="00E07065"/>
    <w:rsid w:val="00E1241F"/>
    <w:rsid w:val="00E129C2"/>
    <w:rsid w:val="00E13213"/>
    <w:rsid w:val="00E133B7"/>
    <w:rsid w:val="00E13630"/>
    <w:rsid w:val="00E138C9"/>
    <w:rsid w:val="00E14BDC"/>
    <w:rsid w:val="00E17130"/>
    <w:rsid w:val="00E20DEF"/>
    <w:rsid w:val="00E210C7"/>
    <w:rsid w:val="00E21E10"/>
    <w:rsid w:val="00E22463"/>
    <w:rsid w:val="00E24589"/>
    <w:rsid w:val="00E2502E"/>
    <w:rsid w:val="00E30F3E"/>
    <w:rsid w:val="00E33577"/>
    <w:rsid w:val="00E37A96"/>
    <w:rsid w:val="00E409DF"/>
    <w:rsid w:val="00E41B71"/>
    <w:rsid w:val="00E43207"/>
    <w:rsid w:val="00E433CE"/>
    <w:rsid w:val="00E45B3C"/>
    <w:rsid w:val="00E45CA4"/>
    <w:rsid w:val="00E45FD9"/>
    <w:rsid w:val="00E46A26"/>
    <w:rsid w:val="00E4751B"/>
    <w:rsid w:val="00E50A0D"/>
    <w:rsid w:val="00E51833"/>
    <w:rsid w:val="00E51907"/>
    <w:rsid w:val="00E520ED"/>
    <w:rsid w:val="00E53FAE"/>
    <w:rsid w:val="00E542D4"/>
    <w:rsid w:val="00E5451C"/>
    <w:rsid w:val="00E54B8E"/>
    <w:rsid w:val="00E56821"/>
    <w:rsid w:val="00E569A3"/>
    <w:rsid w:val="00E57227"/>
    <w:rsid w:val="00E6202A"/>
    <w:rsid w:val="00E63115"/>
    <w:rsid w:val="00E66653"/>
    <w:rsid w:val="00E67533"/>
    <w:rsid w:val="00E70567"/>
    <w:rsid w:val="00E70589"/>
    <w:rsid w:val="00E71C51"/>
    <w:rsid w:val="00E750DA"/>
    <w:rsid w:val="00E77F0C"/>
    <w:rsid w:val="00E8170A"/>
    <w:rsid w:val="00E82345"/>
    <w:rsid w:val="00E8430E"/>
    <w:rsid w:val="00E84CCA"/>
    <w:rsid w:val="00E84DDB"/>
    <w:rsid w:val="00E86212"/>
    <w:rsid w:val="00E87988"/>
    <w:rsid w:val="00E87A48"/>
    <w:rsid w:val="00E900A2"/>
    <w:rsid w:val="00E900AB"/>
    <w:rsid w:val="00E90847"/>
    <w:rsid w:val="00E90E55"/>
    <w:rsid w:val="00E91DDB"/>
    <w:rsid w:val="00E95554"/>
    <w:rsid w:val="00E97169"/>
    <w:rsid w:val="00E976A0"/>
    <w:rsid w:val="00E97C36"/>
    <w:rsid w:val="00EA0A42"/>
    <w:rsid w:val="00EA1089"/>
    <w:rsid w:val="00EA1385"/>
    <w:rsid w:val="00EA1A63"/>
    <w:rsid w:val="00EA3274"/>
    <w:rsid w:val="00EA7306"/>
    <w:rsid w:val="00EA7E0B"/>
    <w:rsid w:val="00EB10F2"/>
    <w:rsid w:val="00EB20FA"/>
    <w:rsid w:val="00EB3DEF"/>
    <w:rsid w:val="00EB539E"/>
    <w:rsid w:val="00EB741C"/>
    <w:rsid w:val="00EB7B13"/>
    <w:rsid w:val="00EC0FD4"/>
    <w:rsid w:val="00EC1478"/>
    <w:rsid w:val="00EC27FD"/>
    <w:rsid w:val="00EC4F53"/>
    <w:rsid w:val="00EC6483"/>
    <w:rsid w:val="00EC6C05"/>
    <w:rsid w:val="00ED00E6"/>
    <w:rsid w:val="00ED29E4"/>
    <w:rsid w:val="00ED35D6"/>
    <w:rsid w:val="00ED3A6F"/>
    <w:rsid w:val="00ED3AA7"/>
    <w:rsid w:val="00ED569A"/>
    <w:rsid w:val="00ED58B5"/>
    <w:rsid w:val="00ED7212"/>
    <w:rsid w:val="00EE53CF"/>
    <w:rsid w:val="00EE7370"/>
    <w:rsid w:val="00EE7477"/>
    <w:rsid w:val="00EE7E63"/>
    <w:rsid w:val="00EF1206"/>
    <w:rsid w:val="00EF4246"/>
    <w:rsid w:val="00EF486D"/>
    <w:rsid w:val="00EF4C39"/>
    <w:rsid w:val="00EF50F2"/>
    <w:rsid w:val="00EF6941"/>
    <w:rsid w:val="00EF6AAB"/>
    <w:rsid w:val="00EF7AC4"/>
    <w:rsid w:val="00F012C2"/>
    <w:rsid w:val="00F02761"/>
    <w:rsid w:val="00F02C19"/>
    <w:rsid w:val="00F03D5F"/>
    <w:rsid w:val="00F04031"/>
    <w:rsid w:val="00F04A95"/>
    <w:rsid w:val="00F0724A"/>
    <w:rsid w:val="00F10C35"/>
    <w:rsid w:val="00F11572"/>
    <w:rsid w:val="00F116F6"/>
    <w:rsid w:val="00F12133"/>
    <w:rsid w:val="00F133E4"/>
    <w:rsid w:val="00F141F4"/>
    <w:rsid w:val="00F17372"/>
    <w:rsid w:val="00F17A4B"/>
    <w:rsid w:val="00F201FF"/>
    <w:rsid w:val="00F2034F"/>
    <w:rsid w:val="00F20552"/>
    <w:rsid w:val="00F20AA6"/>
    <w:rsid w:val="00F20C8F"/>
    <w:rsid w:val="00F235FB"/>
    <w:rsid w:val="00F236A0"/>
    <w:rsid w:val="00F265A8"/>
    <w:rsid w:val="00F27C3E"/>
    <w:rsid w:val="00F27DE6"/>
    <w:rsid w:val="00F27FBF"/>
    <w:rsid w:val="00F30900"/>
    <w:rsid w:val="00F30DF2"/>
    <w:rsid w:val="00F3107B"/>
    <w:rsid w:val="00F31C29"/>
    <w:rsid w:val="00F31EAA"/>
    <w:rsid w:val="00F33B41"/>
    <w:rsid w:val="00F367E4"/>
    <w:rsid w:val="00F40850"/>
    <w:rsid w:val="00F4181D"/>
    <w:rsid w:val="00F41EBE"/>
    <w:rsid w:val="00F42BA0"/>
    <w:rsid w:val="00F432B8"/>
    <w:rsid w:val="00F44218"/>
    <w:rsid w:val="00F4468A"/>
    <w:rsid w:val="00F44879"/>
    <w:rsid w:val="00F44C39"/>
    <w:rsid w:val="00F45715"/>
    <w:rsid w:val="00F45FF5"/>
    <w:rsid w:val="00F46C86"/>
    <w:rsid w:val="00F50C6C"/>
    <w:rsid w:val="00F5156F"/>
    <w:rsid w:val="00F5350B"/>
    <w:rsid w:val="00F54ECE"/>
    <w:rsid w:val="00F55004"/>
    <w:rsid w:val="00F56603"/>
    <w:rsid w:val="00F57C91"/>
    <w:rsid w:val="00F57F3B"/>
    <w:rsid w:val="00F60312"/>
    <w:rsid w:val="00F61793"/>
    <w:rsid w:val="00F620FD"/>
    <w:rsid w:val="00F64C53"/>
    <w:rsid w:val="00F65607"/>
    <w:rsid w:val="00F65A6A"/>
    <w:rsid w:val="00F66555"/>
    <w:rsid w:val="00F66D70"/>
    <w:rsid w:val="00F705B5"/>
    <w:rsid w:val="00F7087F"/>
    <w:rsid w:val="00F710F6"/>
    <w:rsid w:val="00F7309C"/>
    <w:rsid w:val="00F730AC"/>
    <w:rsid w:val="00F735F7"/>
    <w:rsid w:val="00F744F1"/>
    <w:rsid w:val="00F74B36"/>
    <w:rsid w:val="00F75600"/>
    <w:rsid w:val="00F76BE8"/>
    <w:rsid w:val="00F776F7"/>
    <w:rsid w:val="00F802ED"/>
    <w:rsid w:val="00F80519"/>
    <w:rsid w:val="00F8062A"/>
    <w:rsid w:val="00F80D05"/>
    <w:rsid w:val="00F8386D"/>
    <w:rsid w:val="00F84AE3"/>
    <w:rsid w:val="00F857BE"/>
    <w:rsid w:val="00F86303"/>
    <w:rsid w:val="00F87EBB"/>
    <w:rsid w:val="00F94501"/>
    <w:rsid w:val="00F946F6"/>
    <w:rsid w:val="00F955F2"/>
    <w:rsid w:val="00F96369"/>
    <w:rsid w:val="00F97D8D"/>
    <w:rsid w:val="00FA0AE4"/>
    <w:rsid w:val="00FA2EF4"/>
    <w:rsid w:val="00FA49C9"/>
    <w:rsid w:val="00FA5C78"/>
    <w:rsid w:val="00FB0D3E"/>
    <w:rsid w:val="00FB3403"/>
    <w:rsid w:val="00FB36CB"/>
    <w:rsid w:val="00FB3840"/>
    <w:rsid w:val="00FB4C65"/>
    <w:rsid w:val="00FB5045"/>
    <w:rsid w:val="00FB68DF"/>
    <w:rsid w:val="00FB6ADA"/>
    <w:rsid w:val="00FB6EAF"/>
    <w:rsid w:val="00FB72DC"/>
    <w:rsid w:val="00FC1E3F"/>
    <w:rsid w:val="00FC3039"/>
    <w:rsid w:val="00FC340B"/>
    <w:rsid w:val="00FC4596"/>
    <w:rsid w:val="00FC47C6"/>
    <w:rsid w:val="00FC48AC"/>
    <w:rsid w:val="00FC4D7E"/>
    <w:rsid w:val="00FC52A7"/>
    <w:rsid w:val="00FC5D3C"/>
    <w:rsid w:val="00FD027D"/>
    <w:rsid w:val="00FD0325"/>
    <w:rsid w:val="00FD043E"/>
    <w:rsid w:val="00FD1E15"/>
    <w:rsid w:val="00FD2509"/>
    <w:rsid w:val="00FD299B"/>
    <w:rsid w:val="00FD49B6"/>
    <w:rsid w:val="00FD4EE2"/>
    <w:rsid w:val="00FD621D"/>
    <w:rsid w:val="00FE238B"/>
    <w:rsid w:val="00FE40E3"/>
    <w:rsid w:val="00FE483E"/>
    <w:rsid w:val="00FE6FB2"/>
    <w:rsid w:val="00FE7B32"/>
    <w:rsid w:val="00FF0ABF"/>
    <w:rsid w:val="00FF0FA5"/>
    <w:rsid w:val="00FF0FF3"/>
    <w:rsid w:val="00FF182B"/>
    <w:rsid w:val="00FF5167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1A9FA"/>
  <w15:chartTrackingRefBased/>
  <w15:docId w15:val="{F0A9883F-3686-404B-9775-019F94DB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B51"/>
  </w:style>
  <w:style w:type="paragraph" w:styleId="Ttulo1">
    <w:name w:val="heading 1"/>
    <w:basedOn w:val="Normal"/>
    <w:next w:val="Normal"/>
    <w:link w:val="Ttulo1Char"/>
    <w:uiPriority w:val="9"/>
    <w:qFormat/>
    <w:rsid w:val="000367F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6675C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4E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762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62DF"/>
  </w:style>
  <w:style w:type="paragraph" w:customStyle="1" w:styleId="Reportheading2">
    <w:name w:val="Report heading 2"/>
    <w:basedOn w:val="Normal"/>
    <w:qFormat/>
    <w:rsid w:val="001762DF"/>
    <w:pPr>
      <w:autoSpaceDE w:val="0"/>
      <w:autoSpaceDN w:val="0"/>
      <w:adjustRightInd w:val="0"/>
      <w:spacing w:after="240" w:line="240" w:lineRule="auto"/>
    </w:pPr>
    <w:rPr>
      <w:rFonts w:ascii="EYInterstate Light" w:eastAsia="Times New Roman" w:hAnsi="EYInterstate Light" w:cs="EYInterstate"/>
      <w:color w:val="000000"/>
      <w:sz w:val="36"/>
      <w:szCs w:val="36"/>
      <w:lang w:val="en-US"/>
    </w:rPr>
  </w:style>
  <w:style w:type="paragraph" w:customStyle="1" w:styleId="StyleReportheading210pt">
    <w:name w:val="Style Report heading 2 + 10 pt"/>
    <w:basedOn w:val="Reportheading2"/>
    <w:rsid w:val="001762DF"/>
    <w:pPr>
      <w:spacing w:after="320"/>
    </w:pPr>
    <w:rPr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0367F1"/>
    <w:rPr>
      <w:rFonts w:ascii="Arial" w:eastAsiaTheme="majorEastAsia" w:hAnsi="Arial" w:cstheme="majorBidi"/>
      <w:b/>
      <w:sz w:val="24"/>
      <w:szCs w:val="32"/>
    </w:rPr>
  </w:style>
  <w:style w:type="paragraph" w:styleId="PargrafodaLista">
    <w:name w:val="List Paragraph"/>
    <w:basedOn w:val="Normal"/>
    <w:uiPriority w:val="34"/>
    <w:qFormat/>
    <w:rsid w:val="00A92822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6675C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4E328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9E6A06"/>
    <w:pPr>
      <w:tabs>
        <w:tab w:val="left" w:pos="440"/>
        <w:tab w:val="right" w:leader="dot" w:pos="8494"/>
      </w:tabs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E3287"/>
    <w:rPr>
      <w:color w:val="0563C1" w:themeColor="hyperlink"/>
      <w:u w:val="single"/>
    </w:rPr>
  </w:style>
  <w:style w:type="character" w:customStyle="1" w:styleId="ui-provider">
    <w:name w:val="ui-provider"/>
    <w:basedOn w:val="Fontepargpadro"/>
    <w:rsid w:val="00A142BF"/>
  </w:style>
  <w:style w:type="character" w:styleId="Refdecomentrio">
    <w:name w:val="annotation reference"/>
    <w:basedOn w:val="Fontepargpadro"/>
    <w:uiPriority w:val="99"/>
    <w:semiHidden/>
    <w:unhideWhenUsed/>
    <w:rsid w:val="00BF3A7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F3A7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F3A7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3A7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3A72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2D6A17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B74860"/>
    <w:pPr>
      <w:tabs>
        <w:tab w:val="left" w:pos="1100"/>
        <w:tab w:val="right" w:leader="dot" w:pos="8494"/>
      </w:tabs>
      <w:spacing w:after="0"/>
      <w:ind w:left="440"/>
    </w:pPr>
    <w:rPr>
      <w:rFonts w:cstheme="minorHAnsi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4E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FF7461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FF7461"/>
    <w:pPr>
      <w:spacing w:after="0"/>
      <w:ind w:left="66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FF7461"/>
    <w:pPr>
      <w:spacing w:after="0"/>
      <w:ind w:left="88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FF7461"/>
    <w:pPr>
      <w:spacing w:after="0"/>
      <w:ind w:left="110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FF7461"/>
    <w:pPr>
      <w:spacing w:after="0"/>
      <w:ind w:left="132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FF7461"/>
    <w:pPr>
      <w:spacing w:after="0"/>
      <w:ind w:left="154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D2494"/>
    <w:pPr>
      <w:spacing w:after="0"/>
      <w:ind w:left="1760"/>
    </w:pPr>
    <w:rPr>
      <w:rFonts w:cstheme="minorHAnsi"/>
      <w:sz w:val="20"/>
      <w:szCs w:val="20"/>
    </w:rPr>
  </w:style>
  <w:style w:type="paragraph" w:customStyle="1" w:styleId="Estilo1">
    <w:name w:val="Estilo1"/>
    <w:basedOn w:val="Ttulo1"/>
    <w:link w:val="Estilo1Char"/>
    <w:qFormat/>
    <w:rsid w:val="00F65607"/>
    <w:pPr>
      <w:numPr>
        <w:numId w:val="1"/>
      </w:numPr>
    </w:pPr>
  </w:style>
  <w:style w:type="paragraph" w:customStyle="1" w:styleId="Estilo2">
    <w:name w:val="Estilo2"/>
    <w:basedOn w:val="Ttulo1"/>
    <w:link w:val="Estilo2Char"/>
    <w:qFormat/>
    <w:rsid w:val="008757EB"/>
    <w:pPr>
      <w:numPr>
        <w:ilvl w:val="1"/>
        <w:numId w:val="10"/>
      </w:numPr>
      <w:spacing w:line="360" w:lineRule="auto"/>
    </w:pPr>
  </w:style>
  <w:style w:type="character" w:customStyle="1" w:styleId="Estilo1Char">
    <w:name w:val="Estilo1 Char"/>
    <w:basedOn w:val="Ttulo1Char"/>
    <w:link w:val="Estilo1"/>
    <w:rsid w:val="00F65607"/>
    <w:rPr>
      <w:rFonts w:ascii="Arial" w:eastAsiaTheme="majorEastAsia" w:hAnsi="Arial" w:cstheme="majorBidi"/>
      <w:b/>
      <w:sz w:val="24"/>
      <w:szCs w:val="32"/>
    </w:rPr>
  </w:style>
  <w:style w:type="paragraph" w:customStyle="1" w:styleId="Estilo3">
    <w:name w:val="Estilo3"/>
    <w:basedOn w:val="Ttulo1"/>
    <w:link w:val="Estilo3Char"/>
    <w:qFormat/>
    <w:rsid w:val="0026351E"/>
    <w:pPr>
      <w:numPr>
        <w:ilvl w:val="2"/>
        <w:numId w:val="10"/>
      </w:numPr>
      <w:spacing w:line="360" w:lineRule="auto"/>
    </w:pPr>
    <w:rPr>
      <w:rFonts w:cs="Arial"/>
      <w:b w:val="0"/>
      <w:bCs/>
      <w:szCs w:val="24"/>
    </w:rPr>
  </w:style>
  <w:style w:type="character" w:customStyle="1" w:styleId="Estilo2Char">
    <w:name w:val="Estilo2 Char"/>
    <w:basedOn w:val="Ttulo1Char"/>
    <w:link w:val="Estilo2"/>
    <w:rsid w:val="008757EB"/>
    <w:rPr>
      <w:rFonts w:ascii="Arial" w:eastAsiaTheme="majorEastAsia" w:hAnsi="Arial" w:cstheme="majorBidi"/>
      <w:b/>
      <w:sz w:val="24"/>
      <w:szCs w:val="32"/>
    </w:rPr>
  </w:style>
  <w:style w:type="character" w:customStyle="1" w:styleId="Estilo3Char">
    <w:name w:val="Estilo3 Char"/>
    <w:basedOn w:val="Ttulo1Char"/>
    <w:link w:val="Estilo3"/>
    <w:rsid w:val="0026351E"/>
    <w:rPr>
      <w:rFonts w:ascii="Arial" w:eastAsiaTheme="majorEastAsia" w:hAnsi="Arial" w:cs="Arial"/>
      <w:b w:val="0"/>
      <w:bCs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A647D2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A369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6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10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084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65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013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16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09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67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8857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64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149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1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685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653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43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628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7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26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92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2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06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29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19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71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481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55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15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41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712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40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84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75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24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78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314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40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bfe98d5-778b-44a4-9bcd-8a134c10ef04" xsi:nil="true"/>
    <lcf76f155ced4ddcb4097134ff3c332f xmlns="6a735ea2-fa3d-4d9c-93b4-b88eead2208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02EB31265A9340BED5837690FA6343" ma:contentTypeVersion="14" ma:contentTypeDescription="Criar um novo documento." ma:contentTypeScope="" ma:versionID="ee587ba991bff1da2a4ae06768af1067">
  <xsd:schema xmlns:xsd="http://www.w3.org/2001/XMLSchema" xmlns:xs="http://www.w3.org/2001/XMLSchema" xmlns:p="http://schemas.microsoft.com/office/2006/metadata/properties" xmlns:ns2="6a735ea2-fa3d-4d9c-93b4-b88eead2208a" xmlns:ns3="4bfe98d5-778b-44a4-9bcd-8a134c10ef04" targetNamespace="http://schemas.microsoft.com/office/2006/metadata/properties" ma:root="true" ma:fieldsID="9562aaf1b38324215a54be5bf7f194cb" ns2:_="" ns3:_="">
    <xsd:import namespace="6a735ea2-fa3d-4d9c-93b4-b88eead2208a"/>
    <xsd:import namespace="4bfe98d5-778b-44a4-9bcd-8a134c10ef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35ea2-fa3d-4d9c-93b4-b88eead220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e98d5-778b-44a4-9bcd-8a134c10ef0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d92dfda-ef5f-43da-9b9b-85149736cd7e}" ma:internalName="TaxCatchAll" ma:showField="CatchAllData" ma:web="4bfe98d5-778b-44a4-9bcd-8a134c10ef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F8C1-2E4F-421D-AAB6-5F4A03DA5843}">
  <ds:schemaRefs>
    <ds:schemaRef ds:uri="http://schemas.microsoft.com/office/2006/metadata/properties"/>
    <ds:schemaRef ds:uri="http://schemas.microsoft.com/office/infopath/2007/PartnerControls"/>
    <ds:schemaRef ds:uri="4bfe98d5-778b-44a4-9bcd-8a134c10ef04"/>
    <ds:schemaRef ds:uri="6a735ea2-fa3d-4d9c-93b4-b88eead2208a"/>
  </ds:schemaRefs>
</ds:datastoreItem>
</file>

<file path=customXml/itemProps2.xml><?xml version="1.0" encoding="utf-8"?>
<ds:datastoreItem xmlns:ds="http://schemas.openxmlformats.org/officeDocument/2006/customXml" ds:itemID="{7179A74E-58BC-482F-AABF-63812F727F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E4480A-F29B-40CE-99AB-59DB6DBABC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35ea2-fa3d-4d9c-93b4-b88eead2208a"/>
    <ds:schemaRef ds:uri="4bfe98d5-778b-44a4-9bcd-8a134c10e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830AE0-474B-40E8-B106-31F22BBD63E2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65215</vt:lpwstr>
  </property>
  <property fmtid="{D5CDD505-2E9C-101B-9397-08002B2CF9AE}" pid="4" name="OptimizationTime">
    <vt:lpwstr>20240227_1628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7199</TotalTime>
  <Pages>18</Pages>
  <Words>3508</Words>
  <Characters>18946</Characters>
  <Application>Microsoft Office Word</Application>
  <DocSecurity>0</DocSecurity>
  <Lines>157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Suetake</dc:creator>
  <cp:keywords/>
  <dc:description/>
  <cp:lastModifiedBy>Jessica Oliveira</cp:lastModifiedBy>
  <cp:revision>604</cp:revision>
  <cp:lastPrinted>2023-12-20T06:35:00Z</cp:lastPrinted>
  <dcterms:created xsi:type="dcterms:W3CDTF">2024-01-23T02:52:00Z</dcterms:created>
  <dcterms:modified xsi:type="dcterms:W3CDTF">2024-02-27T17:58:00Z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0x0101004A02EB31265A9340BED5837690FA6343</vt:lpwstr>
  </property>
  <property fmtid="{D5CDD505-2E9C-101B-9397-08002B2CF9AE}" pid="3" name="MediaServiceImageTags">
    <vt:lpwstr/>
  </property>
</Properties>
</file>