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"/>
        <w:ind w:left="0" w:right="0"/>
      </w:pPr>
    </w:p>
    <w:p>
      <w:pPr>
        <w:sectPr>
          <w:pgSz w:w="12240" w:h="15840"/>
          <w:pgMar w:top="262" w:right="744" w:bottom="1440" w:left="50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40" w:right="3312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COMPANY OVERVIEW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Company Name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Apple Inc.</w:t>
      </w:r>
    </w:p>
    <w:p>
      <w:pPr>
        <w:autoSpaceDN w:val="0"/>
        <w:autoSpaceDE w:val="0"/>
        <w:widowControl/>
        <w:spacing w:line="340" w:lineRule="exact" w:before="40" w:after="0"/>
        <w:ind w:left="4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Industry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Consumer Electronics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Sector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Technology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Business Description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Apple Inc. designs, manufactures, and markets smartphones,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personal computers, tablets, wearables, and accessories worldwide.</w:t>
      </w:r>
    </w:p>
    <w:p>
      <w:pPr>
        <w:autoSpaceDN w:val="0"/>
        <w:autoSpaceDE w:val="0"/>
        <w:widowControl/>
        <w:spacing w:line="220" w:lineRule="exact" w:before="28" w:after="0"/>
        <w:ind w:left="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The company offers iPhone, a line of smartphones; Mac, a line of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personal computers; iPad, a line of multi-purpose tablets;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wearables, home, and accessories comprising AirPods, Apple TV,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Apple Watch, Beats products, and HomePod.</w:t>
      </w:r>
    </w:p>
    <w:p>
      <w:pPr>
        <w:autoSpaceDN w:val="0"/>
        <w:autoSpaceDE w:val="0"/>
        <w:widowControl/>
        <w:spacing w:line="378" w:lineRule="exact" w:before="422" w:after="0"/>
        <w:ind w:left="40" w:right="216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BUSINESS AND MARKET POSITION </w:t>
      </w:r>
      <w:r>
        <w:rPr>
          <w:rFonts w:ascii="Helvetica" w:hAnsi="Helvetica" w:eastAsia="Helvetica"/>
          <w:b/>
          <w:i w:val="0"/>
          <w:color w:val="000000"/>
          <w:sz w:val="18"/>
        </w:rPr>
        <w:t>Market Position: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Market Cap: $3673.3B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• Shares Outstanding: 15115.8M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Float: 15091.2M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>Key Statistics: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EV/EBITDA: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27.55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13.12)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P/E TTM: </w:t>
      </w:r>
      <w:r>
        <w:rPr>
          <w:rFonts w:ascii="Helvetica" w:hAnsi="Helvetica" w:eastAsia="Helvetica"/>
          <w:b w:val="0"/>
          <w:i w:val="0"/>
          <w:color w:val="FF0000"/>
          <w:sz w:val="18"/>
        </w:rPr>
        <w:t>39.91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(Peer avg: 22.74)</w:t>
      </w:r>
    </w:p>
    <w:p>
      <w:pPr>
        <w:sectPr>
          <w:type w:val="continuous"/>
          <w:pgSz w:w="12240" w:h="15840"/>
          <w:pgMar w:top="262" w:right="744" w:bottom="1440" w:left="500" w:header="720" w:footer="720" w:gutter="0"/>
          <w:cols w:num="2" w:equalWidth="0">
            <w:col w:w="5666" w:space="0"/>
            <w:col w:w="53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00399" cy="2103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66" w:after="48"/>
        <w:ind w:left="204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>FINANCIAL TABLE (in millions USD)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3.99999999999977" w:type="dxa"/>
      </w:tblPr>
      <w:tblGrid>
        <w:gridCol w:w="1833"/>
        <w:gridCol w:w="1833"/>
        <w:gridCol w:w="1833"/>
        <w:gridCol w:w="1833"/>
        <w:gridCol w:w="1833"/>
        <w:gridCol w:w="1833"/>
      </w:tblGrid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Year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Revenue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Net Profit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EBITDA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8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F4F4F4"/>
                <w:sz w:val="16"/>
              </w:rPr>
              <w:t>ROI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2024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391,035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123,216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93,736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134,661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25.68%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2023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383,285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114,301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96,995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125,820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27.51%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394,328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119,437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99,803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130,541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28.29%</w:t>
            </w:r>
          </w:p>
        </w:tc>
      </w:tr>
      <w:tr>
        <w:trPr>
          <w:trHeight w:hRule="exact" w:val="36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2021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365,817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108,949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94,680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123,136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26.97%</w:t>
            </w:r>
          </w:p>
        </w:tc>
      </w:tr>
      <w:tr>
        <w:trPr>
          <w:trHeight w:hRule="exact" w:val="340"/>
        </w:trPr>
        <w:tc>
          <w:tcPr>
            <w:tcW w:type="dxa" w:w="5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2020</w:t>
            </w:r>
          </w:p>
        </w:tc>
        <w:tc>
          <w:tcPr>
            <w:tcW w:type="dxa" w:w="90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81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8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N/A</w:t>
            </w:r>
          </w:p>
        </w:tc>
        <w:tc>
          <w:tcPr>
            <w:tcW w:type="dxa" w:w="7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nan%</w:t>
            </w:r>
          </w:p>
        </w:tc>
      </w:tr>
    </w:tbl>
    <w:p>
      <w:pPr>
        <w:autoSpaceDN w:val="0"/>
        <w:autoSpaceDE w:val="0"/>
        <w:widowControl/>
        <w:spacing w:line="14" w:lineRule="exact" w:before="0" w:after="756"/>
        <w:ind w:left="0" w:right="0"/>
      </w:pPr>
    </w:p>
    <w:p>
      <w:pPr>
        <w:sectPr>
          <w:type w:val="nextColumn"/>
          <w:pgSz w:w="12240" w:h="15840"/>
          <w:pgMar w:top="262" w:right="744" w:bottom="1440" w:left="500" w:header="720" w:footer="720" w:gutter="0"/>
          <w:cols w:num="2" w:equalWidth="0">
            <w:col w:w="5666" w:space="0"/>
            <w:col w:w="5329" w:space="0"/>
          </w:cols>
          <w:docGrid w:linePitch="360"/>
        </w:sectPr>
      </w:pPr>
    </w:p>
    <w:p>
      <w:pPr>
        <w:autoSpaceDN w:val="0"/>
        <w:tabs>
          <w:tab w:pos="5870" w:val="left"/>
        </w:tabs>
        <w:autoSpaceDE w:val="0"/>
        <w:widowControl/>
        <w:spacing w:line="276" w:lineRule="exact" w:before="0" w:after="124"/>
        <w:ind w:left="40" w:right="0" w:firstLine="0"/>
        <w:jc w:val="left"/>
      </w:pPr>
      <w:r>
        <w:rPr>
          <w:rFonts w:ascii="Helvetica" w:hAnsi="Helvetica" w:eastAsia="Helvetica"/>
          <w:b/>
          <w:i w:val="0"/>
          <w:color w:val="800000"/>
          <w:sz w:val="20"/>
        </w:rPr>
        <w:t xml:space="preserve">KEY STRENGTHS </w:t>
      </w:r>
      <w:r>
        <w:tab/>
      </w:r>
      <w:r>
        <w:rPr>
          <w:rFonts w:ascii="Helvetica" w:hAnsi="Helvetica" w:eastAsia="Helvetica"/>
          <w:b/>
          <w:i w:val="0"/>
          <w:color w:val="800000"/>
          <w:sz w:val="20"/>
        </w:rPr>
        <w:t>GROWTH CATALYSTS</w:t>
      </w:r>
    </w:p>
    <w:p>
      <w:pPr>
        <w:sectPr>
          <w:type w:val="continuous"/>
          <w:pgSz w:w="12240" w:h="15840"/>
          <w:pgMar w:top="262" w:right="744" w:bottom="1440" w:left="500" w:header="720" w:footer="720" w:gutter="0"/>
          <w:cols/>
          <w:docGrid w:linePitch="360"/>
        </w:sectPr>
      </w:pPr>
    </w:p>
    <w:p>
      <w:pPr>
        <w:autoSpaceDN w:val="0"/>
        <w:tabs>
          <w:tab w:pos="40" w:val="left"/>
        </w:tabs>
        <w:autoSpaceDE w:val="0"/>
        <w:widowControl/>
        <w:spacing w:line="448" w:lineRule="exact" w:before="0" w:after="0"/>
        <w:ind w:left="0" w:right="11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Error analyzing strengths: Connection error. </w:t>
      </w:r>
      <w:r>
        <w:rPr>
          <w:rFonts w:ascii="Helvetica" w:hAnsi="Helvetica" w:eastAsia="Helvetica"/>
          <w:b/>
          <w:i w:val="0"/>
          <w:color w:val="800000"/>
          <w:sz w:val="20"/>
        </w:rPr>
        <w:t>INVESTMENT THESIS</w:t>
      </w:r>
    </w:p>
    <w:p>
      <w:pPr>
        <w:sectPr>
          <w:type w:val="continuous"/>
          <w:pgSz w:w="12240" w:h="15840"/>
          <w:pgMar w:top="262" w:right="744" w:bottom="1440" w:left="500" w:header="720" w:footer="720" w:gutter="0"/>
          <w:cols w:num="2" w:equalWidth="0">
            <w:col w:w="4702" w:space="0"/>
            <w:col w:w="6293" w:space="0"/>
          </w:cols>
          <w:docGrid w:linePitch="360"/>
        </w:sectPr>
      </w:pPr>
    </w:p>
    <w:p>
      <w:pPr>
        <w:autoSpaceDN w:val="0"/>
        <w:autoSpaceDE w:val="0"/>
        <w:widowControl/>
        <w:spacing w:line="448" w:lineRule="exact" w:before="0" w:after="124"/>
        <w:ind w:left="1168" w:right="15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Error analyzing catalysts: Connection error. </w:t>
      </w:r>
      <w:r>
        <w:rPr>
          <w:rFonts w:ascii="Helvetica" w:hAnsi="Helvetica" w:eastAsia="Helvetica"/>
          <w:b/>
          <w:i w:val="0"/>
          <w:color w:val="800000"/>
          <w:sz w:val="20"/>
        </w:rPr>
        <w:t>RISK ANALYSIS AND MITIGATION</w:t>
      </w:r>
    </w:p>
    <w:p>
      <w:pPr>
        <w:sectPr>
          <w:type w:val="nextColumn"/>
          <w:pgSz w:w="12240" w:h="15840"/>
          <w:pgMar w:top="262" w:right="744" w:bottom="1440" w:left="500" w:header="720" w:footer="720" w:gutter="0"/>
          <w:cols w:num="2" w:equalWidth="0">
            <w:col w:w="4702" w:space="0"/>
            <w:col w:w="629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665"/>
        <w:gridCol w:w="3665"/>
        <w:gridCol w:w="3665"/>
      </w:tblGrid>
      <w:tr>
        <w:trPr>
          <w:trHeight w:hRule="exact" w:val="34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Financial Health: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2" w:after="0"/>
              <w:ind w:left="5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Analyst Insights:</w:t>
            </w:r>
          </w:p>
        </w:tc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Error generating risk analysis: Connection error.</w:t>
            </w:r>
          </w:p>
        </w:tc>
      </w:tr>
      <w:tr>
        <w:trPr>
          <w:trHeight w:hRule="exact" w:val="38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Cash Position: $65.2B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5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Analyst Rating (1-5): 1.9</w:t>
            </w:r>
          </w:p>
        </w:tc>
        <w:tc>
          <w:tcPr>
            <w:tcW w:type="dxa" w:w="366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Total Debt: $119.1B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Recommendation: BUY</w:t>
            </w:r>
          </w:p>
        </w:tc>
        <w:tc>
          <w:tcPr>
            <w:tcW w:type="dxa" w:w="366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Debt to Equity: 209.06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Number of Analysts: 42</w:t>
            </w:r>
          </w:p>
        </w:tc>
        <w:tc>
          <w:tcPr>
            <w:tcW w:type="dxa" w:w="366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Current Ratio: 0.87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5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• Mean Target Price: $244.5</w:t>
            </w:r>
          </w:p>
        </w:tc>
        <w:tc>
          <w:tcPr>
            <w:tcW w:type="dxa" w:w="36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72" w:after="0"/>
        <w:ind w:left="0" w:right="609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• Implied Upside: 0.6%</w:t>
      </w:r>
    </w:p>
    <w:p>
      <w:pPr>
        <w:autoSpaceDN w:val="0"/>
        <w:autoSpaceDE w:val="0"/>
        <w:widowControl/>
        <w:spacing w:line="380" w:lineRule="exact" w:before="82" w:after="0"/>
        <w:ind w:left="0" w:right="83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</w:t>
      </w:r>
      <w:r>
        <w:rPr>
          <w:rFonts w:ascii="Helvetica" w:hAnsi="Helvetica" w:eastAsia="Helvetica"/>
          <w:b/>
          <w:i w:val="0"/>
          <w:color w:val="000000"/>
          <w:sz w:val="18"/>
        </w:rPr>
        <w:t>Ex-Dividend Date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08-11-2024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Rate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$1.00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• </w:t>
      </w:r>
      <w:r>
        <w:rPr>
          <w:rFonts w:ascii="Helvetica" w:hAnsi="Helvetica" w:eastAsia="Helvetica"/>
          <w:b/>
          <w:i w:val="0"/>
          <w:color w:val="000000"/>
          <w:sz w:val="18"/>
        </w:rPr>
        <w:t>Dividend Yield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: 0.41%</w:t>
      </w:r>
    </w:p>
    <w:sectPr w:rsidR="00FC693F" w:rsidRPr="0006063C" w:rsidSect="00034616">
      <w:type w:val="continuous"/>
      <w:pgSz w:w="12240" w:h="15840"/>
      <w:pgMar w:top="262" w:right="744" w:bottom="1440" w:left="5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