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"/>
        <w:ind w:left="0" w:right="0"/>
      </w:pPr>
    </w:p>
    <w:p>
      <w:pPr>
        <w:sectPr>
          <w:pgSz w:w="12240" w:h="15840"/>
          <w:pgMar w:top="262" w:right="698" w:bottom="676" w:left="5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0" w:right="3312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COMPANY OVERVIEW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Company Name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Apple Inc.</w:t>
      </w:r>
    </w:p>
    <w:p>
      <w:pPr>
        <w:autoSpaceDN w:val="0"/>
        <w:autoSpaceDE w:val="0"/>
        <w:widowControl/>
        <w:spacing w:line="340" w:lineRule="exact" w:before="40" w:after="0"/>
        <w:ind w:left="4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Industry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Consumer Electronics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Sector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Technology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Business Description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Apple Inc. designs, manufactures, and markets smartphones,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personal computers, tablets, wearables, and accessories worldwide.</w:t>
      </w:r>
    </w:p>
    <w:p>
      <w:pPr>
        <w:autoSpaceDN w:val="0"/>
        <w:autoSpaceDE w:val="0"/>
        <w:widowControl/>
        <w:spacing w:line="220" w:lineRule="exact" w:before="28" w:after="0"/>
        <w:ind w:left="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The company offers iPhone, a line of smartphones; Mac, a line of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personal computers; iPad, a line of multi-purpose tablets;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wearables, home, and accessories comprising AirPods, Apple TV,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Apple Watch, Beats products, and HomePod.</w:t>
      </w:r>
    </w:p>
    <w:p>
      <w:pPr>
        <w:autoSpaceDN w:val="0"/>
        <w:autoSpaceDE w:val="0"/>
        <w:widowControl/>
        <w:spacing w:line="378" w:lineRule="exact" w:before="422" w:after="0"/>
        <w:ind w:left="40" w:right="216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BUSINESS AND MARKET POSITION </w:t>
      </w:r>
      <w:r>
        <w:rPr>
          <w:rFonts w:ascii="Helvetica" w:hAnsi="Helvetica" w:eastAsia="Helvetica"/>
          <w:b/>
          <w:i w:val="0"/>
          <w:color w:val="000000"/>
          <w:sz w:val="18"/>
        </w:rPr>
        <w:t>Market Position: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Market Cap: $3673.3B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Shares Outstanding: 15115.8M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Float: 15091.2M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Key Statistics: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EV/EBITDA: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27.55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13.12)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P/E TTM: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39.91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22.74)</w:t>
      </w:r>
    </w:p>
    <w:p>
      <w:pPr>
        <w:sectPr>
          <w:type w:val="continuous"/>
          <w:pgSz w:w="12240" w:h="15840"/>
          <w:pgMar w:top="262" w:right="698" w:bottom="676" w:left="500" w:header="720" w:footer="720" w:gutter="0"/>
          <w:cols w:num="2" w:equalWidth="0">
            <w:col w:w="5666" w:space="0"/>
            <w:col w:w="537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0399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66" w:after="48"/>
        <w:ind w:left="204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FINANCIAL TABLE (in millions USD)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3.99999999999977" w:type="dxa"/>
      </w:tblPr>
      <w:tblGrid>
        <w:gridCol w:w="1840"/>
        <w:gridCol w:w="1840"/>
        <w:gridCol w:w="1840"/>
        <w:gridCol w:w="1840"/>
        <w:gridCol w:w="1840"/>
        <w:gridCol w:w="1840"/>
      </w:tblGrid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Year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Revenue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Net Profit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EBITDA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ROI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391,035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123,216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93,736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134,661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25.68%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383,285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114,301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96,995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125,820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27.51%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394,328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119,437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99,803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130,541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28.29%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365,817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108,949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94,680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123,136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26.97%</w:t>
            </w:r>
          </w:p>
        </w:tc>
      </w:tr>
      <w:tr>
        <w:trPr>
          <w:trHeight w:hRule="exact" w:val="34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nan%</w:t>
            </w:r>
          </w:p>
        </w:tc>
      </w:tr>
    </w:tbl>
    <w:p>
      <w:pPr>
        <w:autoSpaceDN w:val="0"/>
        <w:autoSpaceDE w:val="0"/>
        <w:widowControl/>
        <w:spacing w:line="14" w:lineRule="exact" w:before="0" w:after="756"/>
        <w:ind w:left="0" w:right="0"/>
      </w:pPr>
    </w:p>
    <w:p>
      <w:pPr>
        <w:sectPr>
          <w:type w:val="nextColumn"/>
          <w:pgSz w:w="12240" w:h="15840"/>
          <w:pgMar w:top="262" w:right="698" w:bottom="676" w:left="500" w:header="720" w:footer="720" w:gutter="0"/>
          <w:cols w:num="2" w:equalWidth="0">
            <w:col w:w="5666" w:space="0"/>
            <w:col w:w="5376" w:space="0"/>
          </w:cols>
          <w:docGrid w:linePitch="360"/>
        </w:sectPr>
      </w:pPr>
    </w:p>
    <w:p>
      <w:pPr>
        <w:autoSpaceDN w:val="0"/>
        <w:tabs>
          <w:tab w:pos="5870" w:val="left"/>
        </w:tabs>
        <w:autoSpaceDE w:val="0"/>
        <w:widowControl/>
        <w:spacing w:line="276" w:lineRule="exact" w:before="0" w:after="124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KEY STRENGTHS </w:t>
      </w:r>
      <w:r>
        <w:tab/>
      </w:r>
      <w:r>
        <w:rPr>
          <w:rFonts w:ascii="Helvetica" w:hAnsi="Helvetica" w:eastAsia="Helvetica"/>
          <w:b/>
          <w:i w:val="0"/>
          <w:color w:val="800000"/>
          <w:sz w:val="20"/>
        </w:rPr>
        <w:t>GROWTH CATALYSTS</w:t>
      </w:r>
    </w:p>
    <w:p>
      <w:pPr>
        <w:sectPr>
          <w:type w:val="continuous"/>
          <w:pgSz w:w="12240" w:h="15840"/>
          <w:pgMar w:top="262" w:right="698" w:bottom="676" w:left="5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4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Strong brand recognition: Apple is globally recognized for its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innovation and premium quality, fostering loyal customer bases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across various markets.</w:t>
      </w:r>
    </w:p>
    <w:p>
      <w:pPr>
        <w:autoSpaceDN w:val="0"/>
        <w:autoSpaceDE w:val="0"/>
        <w:widowControl/>
        <w:spacing w:line="220" w:lineRule="exact" w:before="160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Robust financial performance: Consistently strong financial results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and cash flow enable sustained investment in research 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development, ensuring continued growth and innovation.</w:t>
      </w:r>
    </w:p>
    <w:p>
      <w:pPr>
        <w:autoSpaceDN w:val="0"/>
        <w:autoSpaceDE w:val="0"/>
        <w:widowControl/>
        <w:spacing w:line="220" w:lineRule="exact" w:before="160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Ecosystem integration: Apple's diverse range of products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services are tightly integrated, creating a seamless user experience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that encourages long-term user retention and cross-product sales.</w:t>
      </w:r>
    </w:p>
    <w:p>
      <w:pPr>
        <w:autoSpaceDN w:val="0"/>
        <w:autoSpaceDE w:val="0"/>
        <w:widowControl/>
        <w:spacing w:line="276" w:lineRule="exact" w:before="3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INVESTMENT THESIS</w:t>
      </w:r>
    </w:p>
    <w:p>
      <w:pPr>
        <w:sectPr>
          <w:type w:val="continuous"/>
          <w:pgSz w:w="12240" w:h="15840"/>
          <w:pgMar w:top="262" w:right="698" w:bottom="676" w:left="500" w:header="720" w:footer="720" w:gutter="0"/>
          <w:cols w:num="2" w:equalWidth="0">
            <w:col w:w="5642" w:space="0"/>
            <w:col w:w="54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22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New Product Launches: Upcoming innovations and product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developments can drive significant consumer interest and boost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sales.</w:t>
      </w:r>
    </w:p>
    <w:p>
      <w:pPr>
        <w:autoSpaceDN w:val="0"/>
        <w:autoSpaceDE w:val="0"/>
        <w:widowControl/>
        <w:spacing w:line="220" w:lineRule="exact" w:before="160" w:after="0"/>
        <w:ind w:left="228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Expansion in Services: Growing Apple's services segment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offers recurring revenue and diversifies away from hardware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dependency.</w:t>
      </w:r>
    </w:p>
    <w:p>
      <w:pPr>
        <w:autoSpaceDN w:val="0"/>
        <w:autoSpaceDE w:val="0"/>
        <w:widowControl/>
        <w:spacing w:line="220" w:lineRule="exact" w:before="160" w:after="0"/>
        <w:ind w:left="228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Advances in Technology: Continuous advancements in areas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like AI, AR, and silicon chips enhance product capabilities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user experience.</w:t>
      </w:r>
    </w:p>
    <w:p>
      <w:pPr>
        <w:autoSpaceDN w:val="0"/>
        <w:autoSpaceDE w:val="0"/>
        <w:widowControl/>
        <w:spacing w:line="276" w:lineRule="exact" w:before="372" w:after="124"/>
        <w:ind w:left="228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RISK ANALYSIS AND MITIGATION</w:t>
      </w:r>
    </w:p>
    <w:p>
      <w:pPr>
        <w:sectPr>
          <w:type w:val="nextColumn"/>
          <w:pgSz w:w="12240" w:h="15840"/>
          <w:pgMar w:top="262" w:right="698" w:bottom="676" w:left="500" w:header="720" w:footer="720" w:gutter="0"/>
          <w:cols w:num="2" w:equalWidth="0">
            <w:col w:w="5642" w:space="0"/>
            <w:col w:w="54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81"/>
        <w:gridCol w:w="3681"/>
        <w:gridCol w:w="3681"/>
      </w:tblGrid>
      <w:tr>
        <w:trPr>
          <w:trHeight w:hRule="exact" w:val="34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Financial Health: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Analyst Insights:</w:t>
            </w:r>
          </w:p>
        </w:tc>
        <w:tc>
          <w:tcPr>
            <w:tcW w:type="dxa" w:w="5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7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Market Saturation: As smartphone and personal device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markets mature, growth opportunities may slow. Mitigation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involves Apple diversifying its product lines and increasing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services revenue to offset potential declines.</w:t>
            </w:r>
          </w:p>
        </w:tc>
      </w:tr>
      <w:tr>
        <w:trPr>
          <w:trHeight w:hRule="exact" w:val="38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Cash Position: $65.2B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Analyst Rating (1-5): 1.9</w:t>
            </w:r>
          </w:p>
        </w:tc>
        <w:tc>
          <w:tcPr>
            <w:tcW w:type="dxa" w:w="368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Total Debt: $119.1B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Recommendation: BUY</w:t>
            </w:r>
          </w:p>
        </w:tc>
        <w:tc>
          <w:tcPr>
            <w:tcW w:type="dxa" w:w="3681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Debt to Equity: 209.06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Number of Analysts: 42</w:t>
            </w:r>
          </w:p>
        </w:tc>
        <w:tc>
          <w:tcPr>
            <w:tcW w:type="dxa" w:w="5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Supply Chain Disruptions: Apple's reliance on a complex global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supply chain can lead to production bottlenecks. Mitigating 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risk involves increasing supply chain transparency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developing alternative supplier relationships to ensure continuity.</w:t>
            </w:r>
          </w:p>
        </w:tc>
      </w:tr>
      <w:tr>
        <w:trPr>
          <w:trHeight w:hRule="exact" w:val="380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Current Ratio: 0.87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Mean Target Price: $244.5</w:t>
            </w:r>
          </w:p>
        </w:tc>
        <w:tc>
          <w:tcPr>
            <w:tcW w:type="dxa" w:w="3681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3681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Implied Upside: 0.6%</w:t>
            </w:r>
          </w:p>
        </w:tc>
        <w:tc>
          <w:tcPr>
            <w:tcW w:type="dxa" w:w="36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0" w:lineRule="exact" w:before="22" w:after="0"/>
        <w:ind w:left="50" w:right="8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Ex-Dividend Date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08-11-2024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Rate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$1.00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Yield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0.41%</w:t>
      </w:r>
    </w:p>
    <w:sectPr w:rsidR="00FC693F" w:rsidRPr="0006063C" w:rsidSect="00034616">
      <w:type w:val="continuous"/>
      <w:pgSz w:w="12240" w:h="15840"/>
      <w:pgMar w:top="262" w:right="698" w:bottom="676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