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sectPr>
          <w:pgSz w:w="12240" w:h="15840"/>
          <w:pgMar w:top="212" w:right="598" w:bottom="506" w:left="4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0" w:right="1296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COMPANY OVERVIEW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Company Name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Brookfield Renewable Partners L.P.</w:t>
      </w:r>
    </w:p>
    <w:p>
      <w:pPr>
        <w:autoSpaceDN w:val="0"/>
        <w:autoSpaceDE w:val="0"/>
        <w:widowControl/>
        <w:spacing w:line="280" w:lineRule="exact" w:before="100" w:after="0"/>
        <w:ind w:left="4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Industry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Utilities - Renewable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Sector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Utilities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Business Description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Brookfield Renewable Partners L.P. owns a portfolio of renewable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power generating facilities primarily in North America, Colombia,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Brazil. The company generates electricity through hydroelectric, wind,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solar, distributed generation, and pumped storage, as well 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renewable natural gas, carbon capture and storage, recycling,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cogeneration biomass, nuclear services, and power transformation.</w:t>
      </w:r>
    </w:p>
    <w:p>
      <w:pPr>
        <w:autoSpaceDN w:val="0"/>
        <w:autoSpaceDE w:val="0"/>
        <w:widowControl/>
        <w:spacing w:line="378" w:lineRule="exact" w:before="422" w:after="0"/>
        <w:ind w:left="40" w:right="216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BUSINESS AND MARKET POSITION </w:t>
      </w:r>
      <w:r>
        <w:rPr>
          <w:rFonts w:ascii="Helvetica" w:hAnsi="Helvetica" w:eastAsia="Helvetica"/>
          <w:b/>
          <w:i w:val="0"/>
          <w:color w:val="000000"/>
          <w:sz w:val="18"/>
        </w:rPr>
        <w:t>Market Position: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Market Cap: $15.9B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Shares Outstanding: 285.1M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Float: 205.5M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Key Statistics: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Price-to-FFO: </w:t>
      </w:r>
      <w:r>
        <w:rPr>
          <w:rFonts w:ascii="Helvetica" w:hAnsi="Helvetica" w:eastAsia="Helvetica"/>
          <w:b w:val="0"/>
          <w:i w:val="0"/>
          <w:color w:val="008000"/>
          <w:sz w:val="18"/>
        </w:rPr>
        <w:t>2.77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8.64)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EV/EBITDA: </w:t>
      </w:r>
      <w:r>
        <w:rPr>
          <w:rFonts w:ascii="Helvetica" w:hAnsi="Helvetica" w:eastAsia="Helvetica"/>
          <w:b w:val="0"/>
          <w:i w:val="0"/>
          <w:color w:val="008000"/>
          <w:sz w:val="18"/>
        </w:rPr>
        <w:t>8.81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11.24)</w:t>
      </w:r>
    </w:p>
    <w:p>
      <w:pPr>
        <w:sectPr>
          <w:type w:val="continuous"/>
          <w:pgSz w:w="12240" w:h="15840"/>
          <w:pgMar w:top="212" w:right="598" w:bottom="506" w:left="400" w:header="720" w:footer="720" w:gutter="0"/>
          <w:cols w:num="2" w:equalWidth="0">
            <w:col w:w="5772" w:space="0"/>
            <w:col w:w="54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0400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66" w:after="48"/>
        <w:ind w:left="198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FINANCIAL TABLE (in millions USD)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7.99999999999955" w:type="dxa"/>
      </w:tblPr>
      <w:tblGrid>
        <w:gridCol w:w="1874"/>
        <w:gridCol w:w="1874"/>
        <w:gridCol w:w="1874"/>
        <w:gridCol w:w="1874"/>
        <w:gridCol w:w="1874"/>
        <w:gridCol w:w="1874"/>
      </w:tblGrid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Year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Revenue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Net Profit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EBITDA</w:t>
            </w:r>
          </w:p>
        </w:tc>
        <w:tc>
          <w:tcPr>
            <w:tcW w:type="dxa" w:w="7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ROI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5,038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1,037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-50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4,058</w:t>
            </w:r>
          </w:p>
        </w:tc>
        <w:tc>
          <w:tcPr>
            <w:tcW w:type="dxa" w:w="7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-0.07%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4,711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1,430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-122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2,958</w:t>
            </w:r>
          </w:p>
        </w:tc>
        <w:tc>
          <w:tcPr>
            <w:tcW w:type="dxa" w:w="7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-0.19%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4,096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870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-136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2,444</w:t>
            </w:r>
          </w:p>
        </w:tc>
        <w:tc>
          <w:tcPr>
            <w:tcW w:type="dxa" w:w="7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-0.24%</w:t>
            </w:r>
          </w:p>
        </w:tc>
      </w:tr>
      <w:tr>
        <w:trPr>
          <w:trHeight w:hRule="exact" w:val="34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3,810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694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-130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2,160</w:t>
            </w:r>
          </w:p>
        </w:tc>
        <w:tc>
          <w:tcPr>
            <w:tcW w:type="dxa" w:w="74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-0.26%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16"/>
        <w:ind w:left="0" w:right="0"/>
      </w:pPr>
    </w:p>
    <w:p>
      <w:pPr>
        <w:sectPr>
          <w:type w:val="nextColumn"/>
          <w:pgSz w:w="12240" w:h="15840"/>
          <w:pgMar w:top="212" w:right="598" w:bottom="506" w:left="400" w:header="720" w:footer="720" w:gutter="0"/>
          <w:cols w:num="2" w:equalWidth="0">
            <w:col w:w="5772" w:space="0"/>
            <w:col w:w="5470" w:space="0"/>
          </w:cols>
          <w:docGrid w:linePitch="360"/>
        </w:sectPr>
      </w:pPr>
    </w:p>
    <w:p>
      <w:pPr>
        <w:autoSpaceDN w:val="0"/>
        <w:tabs>
          <w:tab w:pos="5970" w:val="left"/>
        </w:tabs>
        <w:autoSpaceDE w:val="0"/>
        <w:widowControl/>
        <w:spacing w:line="276" w:lineRule="exact" w:before="0" w:after="124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KEY STRENGTHS </w:t>
      </w:r>
      <w:r>
        <w:tab/>
      </w:r>
      <w:r>
        <w:rPr>
          <w:rFonts w:ascii="Helvetica" w:hAnsi="Helvetica" w:eastAsia="Helvetica"/>
          <w:b/>
          <w:i w:val="0"/>
          <w:color w:val="800000"/>
          <w:sz w:val="20"/>
        </w:rPr>
        <w:t>GROWTH CATALYSTS</w:t>
      </w:r>
    </w:p>
    <w:p>
      <w:pPr>
        <w:sectPr>
          <w:type w:val="continuous"/>
          <w:pgSz w:w="12240" w:h="15840"/>
          <w:pgMar w:top="212" w:right="598" w:bottom="506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Renewable Energy Focus: Brookfield Renewable Partners (BEP)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specializes in generating power from renewable resources, including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hydroelectric, wind, and solar, contributing significantly to sustainable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energy solutions.</w:t>
      </w:r>
    </w:p>
    <w:p>
      <w:pPr>
        <w:autoSpaceDN w:val="0"/>
        <w:autoSpaceDE w:val="0"/>
        <w:widowControl/>
        <w:spacing w:line="220" w:lineRule="exact" w:before="160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Strong Global Asset Base: BEP boasts a diverse portfolio of assets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spread across various countries, enhancing operational stability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reducing geographical risks.</w:t>
      </w:r>
    </w:p>
    <w:p>
      <w:pPr>
        <w:autoSpaceDN w:val="0"/>
        <w:autoSpaceDE w:val="0"/>
        <w:widowControl/>
        <w:spacing w:line="220" w:lineRule="exact" w:before="160" w:after="0"/>
        <w:ind w:left="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Strategic Partnerships: Through strategic alliances and joint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ventures, BEP enhances its market access and accelerates growth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opportunities in the renewable sector.</w:t>
      </w:r>
    </w:p>
    <w:p>
      <w:pPr>
        <w:autoSpaceDN w:val="0"/>
        <w:autoSpaceDE w:val="0"/>
        <w:widowControl/>
        <w:spacing w:line="276" w:lineRule="exact" w:before="3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INVESTMENT THESIS</w:t>
      </w:r>
    </w:p>
    <w:p>
      <w:pPr>
        <w:sectPr>
          <w:type w:val="continuous"/>
          <w:pgSz w:w="12240" w:h="15840"/>
          <w:pgMar w:top="212" w:right="598" w:bottom="506" w:left="400" w:header="720" w:footer="720" w:gutter="0"/>
          <w:cols w:num="2" w:equalWidth="0">
            <w:col w:w="5756" w:space="0"/>
            <w:col w:w="5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214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Expansion in renewable energy projects: BEP is investing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heavily in new and existing renewable energy infrastructure,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driving long-term growth.</w:t>
      </w:r>
    </w:p>
    <w:p>
      <w:pPr>
        <w:autoSpaceDN w:val="0"/>
        <w:autoSpaceDE w:val="0"/>
        <w:widowControl/>
        <w:spacing w:line="220" w:lineRule="exact" w:before="160" w:after="0"/>
        <w:ind w:left="214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Strategic acquisitions: By acquiring strategic assets, BEP is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enhancing its portfolio and increasing its market share in the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green energy sector.</w:t>
      </w:r>
    </w:p>
    <w:p>
      <w:pPr>
        <w:autoSpaceDN w:val="0"/>
        <w:autoSpaceDE w:val="0"/>
        <w:widowControl/>
        <w:spacing w:line="220" w:lineRule="exact" w:before="160" w:after="0"/>
        <w:ind w:left="2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Partnership with global leaders: Collaborating with industry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leaders in different regions helps BEP to expand its technological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capabilities and geographical reach.</w:t>
      </w:r>
    </w:p>
    <w:p>
      <w:pPr>
        <w:autoSpaceDN w:val="0"/>
        <w:autoSpaceDE w:val="0"/>
        <w:widowControl/>
        <w:spacing w:line="276" w:lineRule="exact" w:before="592" w:after="124"/>
        <w:ind w:left="214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RISK ANALYSIS AND MITIGATION</w:t>
      </w:r>
    </w:p>
    <w:p>
      <w:pPr>
        <w:sectPr>
          <w:type w:val="nextColumn"/>
          <w:pgSz w:w="12240" w:h="15840"/>
          <w:pgMar w:top="212" w:right="598" w:bottom="506" w:left="400" w:header="720" w:footer="720" w:gutter="0"/>
          <w:cols w:num="2" w:equalWidth="0">
            <w:col w:w="5756" w:space="0"/>
            <w:col w:w="54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747"/>
        <w:gridCol w:w="3747"/>
        <w:gridCol w:w="3747"/>
      </w:tblGrid>
      <w:tr>
        <w:trPr>
          <w:trHeight w:hRule="exact" w:val="34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Financial Health: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Analyst Insights: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3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Regulatory Changes: $BEP operates in the renewable energy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sector, which is highly sensitive to policy shifts and subsidy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changes, potentially impacting profitability. Staying informed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advocating for favorable policies can help mitigate this risk.</w:t>
            </w:r>
          </w:p>
        </w:tc>
      </w:tr>
      <w:tr>
        <w:trPr>
          <w:trHeight w:hRule="exact" w:val="38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Cash Position: $1.7B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Analyst Rating (1-5): 2.1</w:t>
            </w:r>
          </w:p>
        </w:tc>
        <w:tc>
          <w:tcPr>
            <w:tcW w:type="dxa" w:w="374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Total Debt: $29.9B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Recommendation: BUY</w:t>
            </w:r>
          </w:p>
        </w:tc>
        <w:tc>
          <w:tcPr>
            <w:tcW w:type="dxa" w:w="374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6" w:after="0"/>
              <w:ind w:left="6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Debt to Equity: </w:t>
            </w:r>
            <w:r>
              <w:rPr>
                <w:rFonts w:ascii="Helvetica" w:hAnsi="Helvetica" w:eastAsia="Helvetica"/>
                <w:b w:val="0"/>
                <w:i w:val="0"/>
                <w:color w:val="008000"/>
                <w:sz w:val="18"/>
              </w:rPr>
              <w:t>106.96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158.32)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8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Number of Analysts: 14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3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Market Price Fluctuations: The volatility in energy markets can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affect the revenue streams of $BEP, given its dependence 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power purchase agreements. Diversifying the energy portfolio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securing long-term contracts can help stabilize revenue.</w:t>
            </w:r>
          </w:p>
        </w:tc>
      </w:tr>
      <w:tr>
        <w:trPr>
          <w:trHeight w:hRule="exact" w:val="300"/>
        </w:trPr>
        <w:tc>
          <w:tcPr>
            <w:tcW w:type="dxa" w:w="3747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Mean Target Price: $30.9</w:t>
            </w:r>
          </w:p>
        </w:tc>
        <w:tc>
          <w:tcPr>
            <w:tcW w:type="dxa" w:w="374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6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Current Ratio: </w:t>
            </w:r>
            <w:r>
              <w:rPr>
                <w:rFonts w:ascii="Helvetica" w:hAnsi="Helvetica" w:eastAsia="Helvetica"/>
                <w:b w:val="0"/>
                <w:i w:val="0"/>
                <w:color w:val="FFA500"/>
                <w:sz w:val="18"/>
              </w:rPr>
              <w:t>0.73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1.89)</w:t>
            </w:r>
          </w:p>
        </w:tc>
        <w:tc>
          <w:tcPr>
            <w:tcW w:type="dxa" w:w="3747"/>
            <w:vMerge/>
            <w:tcBorders/>
          </w:tcPr>
          <w:p/>
        </w:tc>
        <w:tc>
          <w:tcPr>
            <w:tcW w:type="dxa" w:w="3747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3747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33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Implied +/-: </w:t>
            </w:r>
            <w:r>
              <w:rPr>
                <w:rFonts w:ascii="Helvetica" w:hAnsi="Helvetica" w:eastAsia="Helvetica"/>
                <w:b w:val="0"/>
                <w:i w:val="0"/>
                <w:color w:val="008000"/>
                <w:sz w:val="18"/>
              </w:rPr>
              <w:t>29.8%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16.5%)</w:t>
            </w:r>
          </w:p>
        </w:tc>
        <w:tc>
          <w:tcPr>
            <w:tcW w:type="dxa" w:w="37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0" w:lineRule="exact" w:before="22" w:after="0"/>
        <w:ind w:left="50" w:right="84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Ex-Dividend Date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29-11-2024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Rate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$1.42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Yield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5.97%</w:t>
      </w:r>
    </w:p>
    <w:sectPr w:rsidR="00FC693F" w:rsidRPr="0006063C" w:rsidSect="00034616">
      <w:type w:val="continuous"/>
      <w:pgSz w:w="12240" w:h="15840"/>
      <w:pgMar w:top="212" w:right="598" w:bottom="506" w:left="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