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4"/>
        <w:ind w:left="0" w:right="0"/>
      </w:pPr>
    </w:p>
    <w:p>
      <w:pPr>
        <w:sectPr>
          <w:pgSz w:w="12240" w:h="15840"/>
          <w:pgMar w:top="262" w:right="724" w:bottom="456" w:left="50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4" w:lineRule="exact" w:before="0" w:after="0"/>
        <w:ind w:left="40" w:right="288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 xml:space="preserve">COMPANY OVERVIEW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Company Name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BlackRock, Inc.</w:t>
      </w:r>
    </w:p>
    <w:p>
      <w:pPr>
        <w:autoSpaceDN w:val="0"/>
        <w:autoSpaceDE w:val="0"/>
        <w:widowControl/>
        <w:spacing w:line="280" w:lineRule="exact" w:before="100" w:after="0"/>
        <w:ind w:left="40" w:right="1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Industry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Asset Management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Sector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Financial Services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Business Description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BlackRock, Inc. is a publicly owned investment manager. The firm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primarily provides its services to institutional, intermediary,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individual investors including corporate, public, union, and industry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pension plans, insurance companies, third-party mutual funds,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endowments, public institutions, governments, foundations, charities,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sovereign wealth funds, corporations, official institutions, and banks.</w:t>
      </w:r>
    </w:p>
    <w:p>
      <w:pPr>
        <w:autoSpaceDN w:val="0"/>
        <w:autoSpaceDE w:val="0"/>
        <w:widowControl/>
        <w:spacing w:line="378" w:lineRule="exact" w:before="422" w:after="0"/>
        <w:ind w:left="40" w:right="216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 xml:space="preserve">BUSINESS AND MARKET POSITION </w:t>
      </w:r>
      <w:r>
        <w:rPr>
          <w:rFonts w:ascii="Helvetica" w:hAnsi="Helvetica" w:eastAsia="Helvetica"/>
          <w:b/>
          <w:i w:val="0"/>
          <w:color w:val="000000"/>
          <w:sz w:val="18"/>
        </w:rPr>
        <w:t>Market Position: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• Market Cap: $162.1B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• Shares Outstanding: 154.9M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Float: 154.9M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Key Statistics: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P/AUM: </w:t>
      </w:r>
      <w:r>
        <w:rPr>
          <w:rFonts w:ascii="Helvetica" w:hAnsi="Helvetica" w:eastAsia="Helvetica"/>
          <w:b w:val="0"/>
          <w:i w:val="0"/>
          <w:color w:val="FF0000"/>
          <w:sz w:val="18"/>
        </w:rPr>
        <w:t>0.11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(Peer avg: 0.07)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P/E TTM: </w:t>
      </w:r>
      <w:r>
        <w:rPr>
          <w:rFonts w:ascii="Helvetica" w:hAnsi="Helvetica" w:eastAsia="Helvetica"/>
          <w:b w:val="0"/>
          <w:i w:val="0"/>
          <w:color w:val="FF0000"/>
          <w:sz w:val="18"/>
        </w:rPr>
        <w:t>25.74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(Peer avg: 18.95)</w:t>
      </w:r>
    </w:p>
    <w:p>
      <w:pPr>
        <w:sectPr>
          <w:type w:val="continuous"/>
          <w:pgSz w:w="12240" w:h="15840"/>
          <w:pgMar w:top="262" w:right="724" w:bottom="456" w:left="500" w:header="720" w:footer="720" w:gutter="0"/>
          <w:cols w:num="2" w:equalWidth="0">
            <w:col w:w="5684" w:space="0"/>
            <w:col w:w="533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200399" cy="2103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2103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66" w:after="48"/>
        <w:ind w:left="186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>FINANCIAL TABLE (in millions USD)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.00000000000023" w:type="dxa"/>
      </w:tblPr>
      <w:tblGrid>
        <w:gridCol w:w="1836"/>
        <w:gridCol w:w="1836"/>
        <w:gridCol w:w="1836"/>
        <w:gridCol w:w="1836"/>
        <w:gridCol w:w="1836"/>
        <w:gridCol w:w="1836"/>
      </w:tblGrid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Year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Revenue</w:t>
            </w:r>
          </w:p>
        </w:tc>
        <w:tc>
          <w:tcPr>
            <w:tcW w:type="dxa" w:w="64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EBIT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Net Profit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EBITDA</w:t>
            </w:r>
          </w:p>
        </w:tc>
        <w:tc>
          <w:tcPr>
            <w:tcW w:type="dxa" w:w="6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ROI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2023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17,859</w:t>
            </w:r>
          </w:p>
        </w:tc>
        <w:tc>
          <w:tcPr>
            <w:tcW w:type="dxa" w:w="64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6,333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5,502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7,874</w:t>
            </w:r>
          </w:p>
        </w:tc>
        <w:tc>
          <w:tcPr>
            <w:tcW w:type="dxa" w:w="6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4.47%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2022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17,873</w:t>
            </w:r>
          </w:p>
        </w:tc>
        <w:tc>
          <w:tcPr>
            <w:tcW w:type="dxa" w:w="64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6,489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5,178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6,920</w:t>
            </w:r>
          </w:p>
        </w:tc>
        <w:tc>
          <w:tcPr>
            <w:tcW w:type="dxa" w:w="6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4.40%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2021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19,374</w:t>
            </w:r>
          </w:p>
        </w:tc>
        <w:tc>
          <w:tcPr>
            <w:tcW w:type="dxa" w:w="64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7,488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5,901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8,793</w:t>
            </w:r>
          </w:p>
        </w:tc>
        <w:tc>
          <w:tcPr>
            <w:tcW w:type="dxa" w:w="6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3.87%</w:t>
            </w:r>
          </w:p>
        </w:tc>
      </w:tr>
      <w:tr>
        <w:trPr>
          <w:trHeight w:hRule="exact" w:val="34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2020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16,205</w:t>
            </w:r>
          </w:p>
        </w:tc>
        <w:tc>
          <w:tcPr>
            <w:tcW w:type="dxa" w:w="64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6,313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4,932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7,087</w:t>
            </w:r>
          </w:p>
        </w:tc>
        <w:tc>
          <w:tcPr>
            <w:tcW w:type="dxa" w:w="6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2.79%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16"/>
        <w:ind w:left="0" w:right="0"/>
      </w:pPr>
    </w:p>
    <w:p>
      <w:pPr>
        <w:sectPr>
          <w:type w:val="nextColumn"/>
          <w:pgSz w:w="12240" w:h="15840"/>
          <w:pgMar w:top="262" w:right="724" w:bottom="456" w:left="500" w:header="720" w:footer="720" w:gutter="0"/>
          <w:cols w:num="2" w:equalWidth="0">
            <w:col w:w="5684" w:space="0"/>
            <w:col w:w="5331" w:space="0"/>
          </w:cols>
          <w:docGrid w:linePitch="360"/>
        </w:sectPr>
      </w:pPr>
    </w:p>
    <w:p>
      <w:pPr>
        <w:autoSpaceDN w:val="0"/>
        <w:tabs>
          <w:tab w:pos="5870" w:val="left"/>
        </w:tabs>
        <w:autoSpaceDE w:val="0"/>
        <w:widowControl/>
        <w:spacing w:line="276" w:lineRule="exact" w:before="0" w:after="124"/>
        <w:ind w:left="40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 xml:space="preserve">KEY STRENGTHS </w:t>
      </w:r>
      <w:r>
        <w:tab/>
      </w:r>
      <w:r>
        <w:rPr>
          <w:rFonts w:ascii="Helvetica" w:hAnsi="Helvetica" w:eastAsia="Helvetica"/>
          <w:b/>
          <w:i w:val="0"/>
          <w:color w:val="800000"/>
          <w:sz w:val="20"/>
        </w:rPr>
        <w:t>GROWTH CATALYSTS</w:t>
      </w:r>
    </w:p>
    <w:p>
      <w:pPr>
        <w:sectPr>
          <w:type w:val="continuous"/>
          <w:pgSz w:w="12240" w:h="15840"/>
          <w:pgMar w:top="262" w:right="724" w:bottom="456" w:left="5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30" w:after="0"/>
        <w:ind w:left="40" w:right="28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- Strong Market Position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BLK (BlackRock) is the world's largest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asset manager, providing it with significant influence and stability in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the financial markets.</w:t>
      </w:r>
    </w:p>
    <w:p>
      <w:pPr>
        <w:autoSpaceDN w:val="0"/>
        <w:autoSpaceDE w:val="0"/>
        <w:widowControl/>
        <w:spacing w:line="220" w:lineRule="exact" w:before="160" w:after="0"/>
        <w:ind w:left="40" w:right="4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Diversified Product Offerings: BlackRock offers a wide range of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investment products across asset classes, appealing to a broad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spectrum of clients and reducing risk.</w:t>
      </w:r>
    </w:p>
    <w:p>
      <w:pPr>
        <w:autoSpaceDN w:val="0"/>
        <w:autoSpaceDE w:val="0"/>
        <w:widowControl/>
        <w:spacing w:line="220" w:lineRule="exact" w:before="160" w:after="0"/>
        <w:ind w:left="4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Innovative Technology: The company invests heavily in technology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and data-driven solutions like Aladdin, enhancing its operational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efficiency and client service.</w:t>
      </w:r>
    </w:p>
    <w:p>
      <w:pPr>
        <w:autoSpaceDN w:val="0"/>
        <w:autoSpaceDE w:val="0"/>
        <w:widowControl/>
        <w:spacing w:line="276" w:lineRule="exact" w:before="372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>INVESTMENT THESIS</w:t>
      </w:r>
    </w:p>
    <w:p>
      <w:pPr>
        <w:sectPr>
          <w:type w:val="continuous"/>
          <w:pgSz w:w="12240" w:h="15840"/>
          <w:pgMar w:top="262" w:right="724" w:bottom="456" w:left="500" w:header="720" w:footer="720" w:gutter="0"/>
          <w:cols w:num="2" w:equalWidth="0">
            <w:col w:w="5672" w:space="0"/>
            <w:col w:w="534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8" w:after="0"/>
        <w:ind w:left="198" w:right="4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Strategic Acquisitions: BlackRock continues to expand its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product offerings and market reach through targeted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acquisitions, which drive growth and diversification.</w:t>
      </w:r>
    </w:p>
    <w:p>
      <w:pPr>
        <w:autoSpaceDN w:val="0"/>
        <w:autoSpaceDE w:val="0"/>
        <w:widowControl/>
        <w:spacing w:line="220" w:lineRule="exact" w:before="160" w:after="0"/>
        <w:ind w:left="19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ETF Expansion: The company's leadership in exchange-traded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funds, particularly under the iShares brand, strengthens its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position in the investment management industry.</w:t>
      </w:r>
    </w:p>
    <w:p>
      <w:pPr>
        <w:autoSpaceDN w:val="0"/>
        <w:autoSpaceDE w:val="0"/>
        <w:widowControl/>
        <w:spacing w:line="220" w:lineRule="exact" w:before="160" w:after="0"/>
        <w:ind w:left="198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Sustainable Investing: Increasing focus on environmental,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social, and governance (ESG) offerings attracts new investors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and aligns with global trends toward sustainable finance.</w:t>
      </w:r>
    </w:p>
    <w:p>
      <w:pPr>
        <w:autoSpaceDN w:val="0"/>
        <w:autoSpaceDE w:val="0"/>
        <w:widowControl/>
        <w:spacing w:line="276" w:lineRule="exact" w:before="372" w:after="124"/>
        <w:ind w:left="198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>RISK ANALYSIS AND MITIGATION</w:t>
      </w:r>
    </w:p>
    <w:p>
      <w:pPr>
        <w:sectPr>
          <w:type w:val="nextColumn"/>
          <w:pgSz w:w="12240" w:h="15840"/>
          <w:pgMar w:top="262" w:right="724" w:bottom="456" w:left="500" w:header="720" w:footer="720" w:gutter="0"/>
          <w:cols w:num="2" w:equalWidth="0">
            <w:col w:w="5672" w:space="0"/>
            <w:col w:w="534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672"/>
        <w:gridCol w:w="3672"/>
        <w:gridCol w:w="3672"/>
      </w:tblGrid>
      <w:tr>
        <w:trPr>
          <w:trHeight w:hRule="exact" w:val="342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Financial Health: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3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Analyst Insights:</w:t>
            </w:r>
          </w:p>
        </w:tc>
        <w:tc>
          <w:tcPr>
            <w:tcW w:type="dxa" w:w="5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3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- Risk 1: Market Volatility - As a large investment management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firm, $BLK is exposed to market fluctuations, which can lead to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significant asset value changes and impact revenue. Mitigation: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Diversifying its investment products and maintaining strong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liquidity can help cushion against sudden market shifts.</w:t>
            </w:r>
          </w:p>
        </w:tc>
      </w:tr>
      <w:tr>
        <w:trPr>
          <w:trHeight w:hRule="exact" w:val="380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Cash Position: $14.3B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Analyst Rating (1-5): 1.7</w:t>
            </w:r>
          </w:p>
        </w:tc>
        <w:tc>
          <w:tcPr>
            <w:tcW w:type="dxa" w:w="3672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Total Debt: $14.2B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Recommendation: BUY</w:t>
            </w:r>
          </w:p>
        </w:tc>
        <w:tc>
          <w:tcPr>
            <w:tcW w:type="dxa" w:w="367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" w:after="0"/>
              <w:ind w:left="6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• Debt to Equity: </w:t>
            </w:r>
            <w:r>
              <w:rPr>
                <w:rFonts w:ascii="Helvetica" w:hAnsi="Helvetica" w:eastAsia="Helvetica"/>
                <w:b w:val="0"/>
                <w:i w:val="0"/>
                <w:color w:val="FF0000"/>
                <w:sz w:val="18"/>
              </w:rPr>
              <w:t>32.50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 (Peer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avg: 17.88)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Number of Analysts: 17</w:t>
            </w:r>
          </w:p>
        </w:tc>
        <w:tc>
          <w:tcPr>
            <w:tcW w:type="dxa" w:w="5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6" w:after="0"/>
              <w:ind w:left="3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- Risk 2: Regulatory Changes - $BLK faces risks from evolving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financial regulations that can impose new compliance costs 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alter operational practices. Mitigation: Proactive engagement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with regulators and investing in compliance infrastructure can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help adapt quickly to new regulations.</w:t>
            </w:r>
          </w:p>
        </w:tc>
      </w:tr>
      <w:tr>
        <w:trPr>
          <w:trHeight w:hRule="exact" w:val="220"/>
        </w:trPr>
        <w:tc>
          <w:tcPr>
            <w:tcW w:type="dxa" w:w="3672"/>
            <w:vMerge/>
            <w:tcBorders/>
          </w:tcPr>
          <w:p/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6" w:after="0"/>
              <w:ind w:left="364" w:right="72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• Mean Target Price: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$1102.2</w:t>
            </w:r>
          </w:p>
        </w:tc>
        <w:tc>
          <w:tcPr>
            <w:tcW w:type="dxa" w:w="367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6" w:after="0"/>
              <w:ind w:left="6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• Current Ratio: </w:t>
            </w:r>
            <w:r>
              <w:rPr>
                <w:rFonts w:ascii="Helvetica" w:hAnsi="Helvetica" w:eastAsia="Helvetica"/>
                <w:b w:val="0"/>
                <w:i w:val="0"/>
                <w:color w:val="FF0000"/>
                <w:sz w:val="18"/>
              </w:rPr>
              <w:t>2.60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 (Peer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avg: 1.14)</w:t>
            </w:r>
          </w:p>
        </w:tc>
        <w:tc>
          <w:tcPr>
            <w:tcW w:type="dxa" w:w="3672"/>
            <w:vMerge/>
            <w:tcBorders/>
          </w:tcPr>
          <w:p/>
        </w:tc>
        <w:tc>
          <w:tcPr>
            <w:tcW w:type="dxa" w:w="3672"/>
            <w:vMerge/>
            <w:tcBorders/>
          </w:tcPr>
          <w:p/>
        </w:tc>
      </w:tr>
      <w:tr>
        <w:trPr>
          <w:trHeight w:hRule="exact" w:val="606"/>
        </w:trPr>
        <w:tc>
          <w:tcPr>
            <w:tcW w:type="dxa" w:w="3672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6" w:after="0"/>
              <w:ind w:left="364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• Implied +/-: </w:t>
            </w:r>
            <w:r>
              <w:rPr>
                <w:rFonts w:ascii="Helvetica" w:hAnsi="Helvetica" w:eastAsia="Helvetica"/>
                <w:b w:val="0"/>
                <w:i w:val="0"/>
                <w:color w:val="FF0000"/>
                <w:sz w:val="18"/>
              </w:rPr>
              <w:t>5.3%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 (Peer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avg: -1.4%)</w:t>
            </w:r>
          </w:p>
        </w:tc>
        <w:tc>
          <w:tcPr>
            <w:tcW w:type="dxa" w:w="36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80" w:lineRule="exact" w:before="22" w:after="0"/>
        <w:ind w:left="50" w:right="82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• </w:t>
      </w:r>
      <w:r>
        <w:rPr>
          <w:rFonts w:ascii="Helvetica" w:hAnsi="Helvetica" w:eastAsia="Helvetica"/>
          <w:b/>
          <w:i w:val="0"/>
          <w:color w:val="000000"/>
          <w:sz w:val="18"/>
        </w:rPr>
        <w:t>Ex-Dividend Date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05-12-2024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• </w:t>
      </w:r>
      <w:r>
        <w:rPr>
          <w:rFonts w:ascii="Helvetica" w:hAnsi="Helvetica" w:eastAsia="Helvetica"/>
          <w:b/>
          <w:i w:val="0"/>
          <w:color w:val="000000"/>
          <w:sz w:val="18"/>
        </w:rPr>
        <w:t>Dividend Rate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$20.40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• </w:t>
      </w:r>
      <w:r>
        <w:rPr>
          <w:rFonts w:ascii="Helvetica" w:hAnsi="Helvetica" w:eastAsia="Helvetica"/>
          <w:b/>
          <w:i w:val="0"/>
          <w:color w:val="000000"/>
          <w:sz w:val="18"/>
        </w:rPr>
        <w:t>Dividend Yield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1.96%</w:t>
      </w:r>
    </w:p>
    <w:sectPr w:rsidR="00FC693F" w:rsidRPr="0006063C" w:rsidSect="00034616">
      <w:type w:val="continuous"/>
      <w:pgSz w:w="12240" w:h="15840"/>
      <w:pgMar w:top="262" w:right="724" w:bottom="456" w:left="5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