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ENSO Research Decision Log</w:t>
      </w:r>
    </w:p>
    <w:bookmarkStart w:id="9" w:name="enso-research-decision-log"/>
    <w:p>
      <w:pPr>
        <w:pStyle w:val="Heading1"/>
      </w:pPr>
      <w:r>
        <w:t xml:space="preserve">ENSO Research Decision Log</w:t>
      </w:r>
    </w:p>
    <w:p>
      <w:pPr>
        <w:pStyle w:val="FirstParagraph"/>
      </w:pPr>
      <w:r>
        <w:t xml:space="preserve">Chronological log reconstructed from report and artifact file timestamps, the README, and the machine-readable experiment ledger. Dates indicate artifact-generation chronology and are not claimed to be the exact time of every underlying experiment.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 and time</w:t>
            </w:r>
          </w:p>
        </w:tc>
        <w:tc>
          <w:tcPr/>
          <w:p>
            <w:pPr>
              <w:pStyle w:val="Compact"/>
            </w:pPr>
            <w:r>
              <w:t xml:space="preserve">Observation or problem</w:t>
            </w:r>
          </w:p>
        </w:tc>
        <w:tc>
          <w:tcPr/>
          <w:p>
            <w:pPr>
              <w:pStyle w:val="Compact"/>
            </w:pPr>
            <w:r>
              <w:t xml:space="preserve">Action or experiment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2026-09-11 10:31 +0800</w:t>
            </w:r>
          </w:p>
        </w:tc>
        <w:tc>
          <w:tcPr/>
          <w:p>
            <w:pPr>
              <w:pStyle w:val="Compact"/>
            </w:pPr>
            <w:r>
              <w:t xml:space="preserve">A late-2026 El Niño scenario needed a reproducible estimate, but seasonal forecast skill and the unusually high forecast level were uncertain.</w:t>
            </w:r>
          </w:p>
        </w:tc>
        <w:tc>
          <w:tcPr/>
          <w:p>
            <w:pPr>
              <w:pStyle w:val="Compact"/>
            </w:pPr>
            <w:r>
              <w:t xml:space="preserve">Calibrated Copernicus ECMWF 51, DWD 22 and CMCC 4 seasonal SST ensembles to ONI with blocked validation and propagated forecast uncertainty into state temperature effects.</w:t>
            </w:r>
          </w:p>
        </w:tc>
        <w:tc>
          <w:tcPr/>
          <w:p>
            <w:pPr>
              <w:pStyle w:val="Compact"/>
            </w:pPr>
            <w:r>
              <w:t xml:space="preserve">Forecast medians were +2.6, +3.0, +3.3 and +3.5 C for ASO through NDJ; the forecast exceeded the training maxima and September/October state skill was not demonstrated.</w:t>
            </w:r>
          </w:p>
        </w:tc>
        <w:tc>
          <w:tcPr/>
          <w:p>
            <w:pPr>
              <w:pStyle w:val="Compact"/>
            </w:pPr>
            <w:r>
              <w:t xml:space="preserve">Retain as a scenario input only; do not treat the forecast as an official or fully validated prediction.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2026-09-11 10:31 +0800</w:t>
            </w:r>
          </w:p>
        </w:tc>
        <w:tc>
          <w:tcPr/>
          <w:p>
            <w:pPr>
              <w:pStyle w:val="Compact"/>
            </w:pPr>
            <w:r>
              <w:t xml:space="preserve">The physical scenario required a translation from ONI to state-level temperature effects without confusing ENSO contribution with realized weather.</w:t>
            </w:r>
          </w:p>
        </w:tc>
        <w:tc>
          <w:tcPr/>
          <w:p>
            <w:pPr>
              <w:pStyle w:val="Compact"/>
            </w:pPr>
            <w:r>
              <w:t xml:space="preserve">Estimated state-by-calendar-month temperature regressions using NOAA state and climate-division records, then propagated ONI forecast draws.</w:t>
            </w:r>
          </w:p>
        </w:tc>
        <w:tc>
          <w:tcPr/>
          <w:p>
            <w:pPr>
              <w:pStyle w:val="Compact"/>
            </w:pPr>
            <w:r>
              <w:t xml:space="preserve">Eleven states exceeded a +2 C central ENSO contribution in December; North Dakota and Minnesota were largest. Residual weather uncertainty remained substantial.</w:t>
            </w:r>
          </w:p>
        </w:tc>
        <w:tc>
          <w:tcPr/>
          <w:p>
            <w:pPr>
              <w:pStyle w:val="Compact"/>
            </w:pPr>
            <w:r>
              <w:t xml:space="preserve">Retain for physical scenario analysis, not causal attribution or point forecasts.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2026-09-11 09:06 +0800</w:t>
            </w:r>
          </w:p>
        </w:tc>
        <w:tc>
          <w:tcPr/>
          <w:p>
            <w:pPr>
              <w:pStyle w:val="Compact"/>
            </w:pPr>
            <w:r>
              <w:t xml:space="preserve">Insurer exposure was hypothesized to respond to delayed ENSO conditions, but timing and non-ENSO risk could dominate.</w:t>
            </w:r>
          </w:p>
        </w:tc>
        <w:tc>
          <w:tcPr/>
          <w:p>
            <w:pPr>
              <w:pStyle w:val="Compact"/>
            </w:pPr>
            <w:r>
              <w:t xml:space="preserve">Tested delayed Pearson, Spearman and partial correlations for RNR, EG, ACGL and SPY using monthly returns and volatility.</w:t>
            </w:r>
          </w:p>
        </w:tc>
        <w:tc>
          <w:tcPr/>
          <w:p>
            <w:pPr>
              <w:pStyle w:val="Compact"/>
            </w:pPr>
            <w:r>
              <w:t xml:space="preserve">Insurance-basket next-month return correlation was r = -0.013; volatility relations weakened in the recent subperiod.</w:t>
            </w:r>
          </w:p>
        </w:tc>
        <w:tc>
          <w:tcPr/>
          <w:p>
            <w:pPr>
              <w:pStyle w:val="Compact"/>
            </w:pPr>
            <w:r>
              <w:t xml:space="preserve">Reject as a stand-alone signal.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2026-09-11 09:06 +0800</w:t>
            </w:r>
          </w:p>
        </w:tc>
        <w:tc>
          <w:tcPr/>
          <w:p>
            <w:pPr>
              <w:pStyle w:val="Compact"/>
            </w:pPr>
            <w:r>
              <w:t xml:space="preserve">A correlation screen could miss a conditional effect in warm, neutral or cold ENSO states.</w:t>
            </w:r>
          </w:p>
        </w:tc>
        <w:tc>
          <w:tcPr/>
          <w:p>
            <w:pPr>
              <w:pStyle w:val="Compact"/>
            </w:pPr>
            <w:r>
              <w:t xml:space="preserve">Compared conditional decline probabilities with the unconditional baseline and evaluated Brier skill.</w:t>
            </w:r>
          </w:p>
        </w:tc>
        <w:tc>
          <w:tcPr/>
          <w:p>
            <w:pPr>
              <w:pStyle w:val="Compact"/>
            </w:pPr>
            <w:r>
              <w:t xml:space="preserve">Brier skill was about -0.035; warm, cold and neutral decline-rate intervals overlapped.</w:t>
            </w:r>
          </w:p>
        </w:tc>
        <w:tc>
          <w:tcPr/>
          <w:p>
            <w:pPr>
              <w:pStyle w:val="Compact"/>
            </w:pPr>
            <w:r>
              <w:t xml:space="preserve">Reject the probability model because it underperformed the unconditional baseline.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2026-09-11 09:06 +0800</w:t>
            </w:r>
          </w:p>
        </w:tc>
        <w:tc>
          <w:tcPr/>
          <w:p>
            <w:pPr>
              <w:pStyle w:val="Compact"/>
            </w:pPr>
            <w:r>
              <w:t xml:space="preserve">A defensive insurer overlay might improve drawdowns even if it did not improve raw prediction.</w:t>
            </w:r>
          </w:p>
        </w:tc>
        <w:tc>
          <w:tcPr/>
          <w:p>
            <w:pPr>
              <w:pStyle w:val="Compact"/>
            </w:pPr>
            <w:r>
              <w:t xml:space="preserve">Compared an expanding-information ENSO exposure rule with always-invested and same-average-exposure controls, including costs.</w:t>
            </w:r>
          </w:p>
        </w:tc>
        <w:tc>
          <w:tcPr/>
          <w:p>
            <w:pPr>
              <w:pStyle w:val="Compact"/>
            </w:pPr>
            <w:r>
              <w:t xml:space="preserve">Overlay CAGR was 10.37% versus 11.49% always invested and 10.99% for the exposure-matched comparator; drawdown remained about -35.5%.</w:t>
            </w:r>
          </w:p>
        </w:tc>
        <w:tc>
          <w:tcPr/>
          <w:p>
            <w:pPr>
              <w:pStyle w:val="Compact"/>
            </w:pPr>
            <w:r>
              <w:t xml:space="preserve">Reject; lower exposure explained most of the result.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2026-09-11 09:06 +0800</w:t>
            </w:r>
          </w:p>
        </w:tc>
        <w:tc>
          <w:tcPr/>
          <w:p>
            <w:pPr>
              <w:pStyle w:val="Compact"/>
            </w:pPr>
            <w:r>
              <w:t xml:space="preserve">Agriculture relationships were difficult to interpret because public futures histories did not preserve verified contract rolls and executable transactions.</w:t>
            </w:r>
          </w:p>
        </w:tc>
        <w:tc>
          <w:tcPr/>
          <w:p>
            <w:pPr>
              <w:pStyle w:val="Compact"/>
            </w:pPr>
            <w:r>
              <w:t xml:space="preserve">Screened delayed ENSO correlations for public futures, then tested investable DBA, CORN, SOYB and WEAT overlays.</w:t>
            </w:r>
          </w:p>
        </w:tc>
        <w:tc>
          <w:tcPr/>
          <w:p>
            <w:pPr>
              <w:pStyle w:val="Compact"/>
            </w:pPr>
            <w:r>
              <w:t xml:space="preserve">Broad agriculture correlation was about r = -0.133; the DBA overlay CAGR was 3.91% versus 5.68% always invested.</w:t>
            </w:r>
          </w:p>
        </w:tc>
        <w:tc>
          <w:tcPr/>
          <w:p>
            <w:pPr>
              <w:pStyle w:val="Compact"/>
            </w:pPr>
            <w:r>
              <w:t xml:space="preserve">Reject direct trading and the current fund overlay implementation.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2026-09-12 16:53 +0800</w:t>
            </w:r>
          </w:p>
        </w:tc>
        <w:tc>
          <w:tcPr/>
          <w:p>
            <w:pPr>
              <w:pStyle w:val="Compact"/>
            </w:pPr>
            <w:r>
              <w:t xml:space="preserve">A full-sample ONI-to-metals lag sweep risked selection bias and could exaggerate descriptive relationships.</w:t>
            </w:r>
          </w:p>
        </w:tc>
        <w:tc>
          <w:tcPr/>
          <w:p>
            <w:pPr>
              <w:pStyle w:val="Compact"/>
            </w:pPr>
            <w:r>
              <w:t xml:space="preserve">Ran candidate lead/lag correlations, then converted the copper, aluminum and nickel tests to expanding walk-forward selection.</w:t>
            </w:r>
          </w:p>
        </w:tc>
        <w:tc>
          <w:tcPr/>
          <w:p>
            <w:pPr>
              <w:pStyle w:val="Compact"/>
            </w:pPr>
            <w:r>
              <w:t xml:space="preserve">Copper was the closest lead, but aluminum was weak and nickel produced a severe drawdown; the full-sample sweep was not a frozen tradable rule.</w:t>
            </w:r>
          </w:p>
        </w:tc>
        <w:tc>
          <w:tcPr/>
          <w:p>
            <w:pPr>
              <w:pStyle w:val="Compact"/>
            </w:pPr>
            <w:r>
              <w:t xml:space="preserve">Modify the research into walk-forward tests; retain only copper as a weak lead.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2026-09-12 16:53 +0800</w:t>
            </w:r>
          </w:p>
        </w:tc>
        <w:tc>
          <w:tcPr/>
          <w:p>
            <w:pPr>
              <w:pStyle w:val="Compact"/>
            </w:pPr>
            <w:r>
              <w:t xml:space="preserve">Copper appeared promising after lag selection, but the effect required out-of-sample confirmation.</w:t>
            </w:r>
          </w:p>
        </w:tc>
        <w:tc>
          <w:tcPr/>
          <w:p>
            <w:pPr>
              <w:pStyle w:val="Compact"/>
            </w:pPr>
            <w:r>
              <w:t xml:space="preserve">Selected signal and lag only on expanding training samples and froze each rule for 12-month test blocks.</w:t>
            </w:r>
          </w:p>
        </w:tc>
        <w:tc>
          <w:tcPr/>
          <w:p>
            <w:pPr>
              <w:pStyle w:val="Compact"/>
            </w:pPr>
            <w:r>
              <w:t xml:space="preserve">Copper annualized return was 8.32%, Sharpe 0.48, max drawdown -49.63%, HAC p = 0.073 and OOS IC p = 0.129.</w:t>
            </w:r>
          </w:p>
        </w:tc>
        <w:tc>
          <w:tcPr/>
          <w:p>
            <w:pPr>
              <w:pStyle w:val="Compact"/>
            </w:pPr>
            <w:r>
              <w:t xml:space="preserve">Retain as a weak research lead, not a promoted strategy.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2026-09-12 18:05 +0800</w:t>
            </w:r>
          </w:p>
        </w:tc>
        <w:tc>
          <w:tcPr/>
          <w:p>
            <w:pPr>
              <w:pStyle w:val="Compact"/>
            </w:pPr>
            <w:r>
              <w:t xml:space="preserve">Metal-to-cooling-stock relationships could reflect broad market exposure rather than a climate transmission channel.</w:t>
            </w:r>
          </w:p>
        </w:tc>
        <w:tc>
          <w:tcPr/>
          <w:p>
            <w:pPr>
              <w:pStyle w:val="Compact"/>
            </w:pPr>
            <w:r>
              <w:t xml:space="preserve">Screened lagged metal returns against cooling-infrastructure stocks and compared candidate relationships with walk-forward behavior.</w:t>
            </w:r>
          </w:p>
        </w:tc>
        <w:tc>
          <w:tcPr/>
          <w:p>
            <w:pPr>
              <w:pStyle w:val="Compact"/>
            </w:pPr>
            <w:r>
              <w:t xml:space="preserve">VRT showed a 42.4% annualized result over only 17 months, while IC p = 0.911.</w:t>
            </w:r>
          </w:p>
        </w:tc>
        <w:tc>
          <w:tcPr/>
          <w:p>
            <w:pPr>
              <w:pStyle w:val="Compact"/>
            </w:pPr>
            <w:r>
              <w:t xml:space="preserve">Do not validate the signal; treat it as insufficient evidence.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2026-09-12 18:57 +0800</w:t>
            </w:r>
          </w:p>
        </w:tc>
        <w:tc>
          <w:tcPr/>
          <w:p>
            <w:pPr>
              <w:pStyle w:val="Compact"/>
            </w:pPr>
            <w:r>
              <w:t xml:space="preserve">The strongest descriptive relationship was ONI versus the six-month COP-XLE relative return, but multiple testing and event scarcity were concerns.</w:t>
            </w:r>
          </w:p>
        </w:tc>
        <w:tc>
          <w:tcPr/>
          <w:p>
            <w:pPr>
              <w:pStyle w:val="Compact"/>
            </w:pPr>
            <w:r>
              <w:t xml:space="preserve">Applied HAC regressions, multiple-testing correction, peak-event analysis and fixed-rule walk-forward tests.</w:t>
            </w:r>
          </w:p>
        </w:tc>
        <w:tc>
          <w:tcPr/>
          <w:p>
            <w:pPr>
              <w:pStyle w:val="Compact"/>
            </w:pPr>
            <w:r>
              <w:t xml:space="preserve">COP-XLE six-month correlation was r = -0.478 with BH q = 0.003, but no event-study or strategy mean survived robust validation.</w:t>
            </w:r>
          </w:p>
        </w:tc>
        <w:tc>
          <w:tcPr/>
          <w:p>
            <w:pPr>
              <w:pStyle w:val="Compact"/>
            </w:pPr>
            <w:r>
              <w:t xml:space="preserve">Retain as the best correlation lead, not as a trading strategy.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2026-09-12 19:38 +0800</w:t>
            </w:r>
          </w:p>
        </w:tc>
        <w:tc>
          <w:tcPr/>
          <w:p>
            <w:pPr>
              <w:pStyle w:val="Compact"/>
            </w:pPr>
            <w:r>
              <w:t xml:space="preserve">Options might provide convex exposure to the COP-XLE signal, but historical implied-volatility surfaces and executable quotes were unavailable.</w:t>
            </w:r>
          </w:p>
        </w:tc>
        <w:tc>
          <w:tcPr/>
          <w:p>
            <w:pPr>
              <w:pStyle w:val="Compact"/>
            </w:pPr>
            <w:r>
              <w:t xml:space="preserve">Selected historical ATM contracts with exact trade bars and calculated debit P&amp;L with explicit friction assumptions.</w:t>
            </w:r>
          </w:p>
        </w:tc>
        <w:tc>
          <w:tcPr/>
          <w:p>
            <w:pPr>
              <w:pStyle w:val="Compact"/>
            </w:pPr>
            <w:r>
              <w:t xml:space="preserve">COP ATM puts returned 8.34% after tax on initial capital, based on only two trades and no historical IV surface.</w:t>
            </w:r>
          </w:p>
        </w:tc>
        <w:tc>
          <w:tcPr/>
          <w:p>
            <w:pPr>
              <w:pStyle w:val="Compact"/>
            </w:pPr>
            <w:r>
              <w:t xml:space="preserve">Retain as a convexity lead only; do not promote.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2026-09-12 21:59 +0800</w:t>
            </w:r>
          </w:p>
        </w:tc>
        <w:tc>
          <w:tcPr/>
          <w:p>
            <w:pPr>
              <w:pStyle w:val="Compact"/>
            </w:pPr>
            <w:r>
              <w:t xml:space="preserve">A monthly infrastructure long-straddle could monetize uncertainty, but thin option data and capital constraints could dominate.</w:t>
            </w:r>
          </w:p>
        </w:tc>
        <w:tc>
          <w:tcPr/>
          <w:p>
            <w:pPr>
              <w:pStyle w:val="Compact"/>
            </w:pPr>
            <w:r>
              <w:t xml:space="preserve">Tested same-strike call-put pairs with point-in-time contract selection, exact entry/exit bars, commissions and slippage.</w:t>
            </w:r>
          </w:p>
        </w:tc>
        <w:tc>
          <w:tcPr/>
          <w:p>
            <w:pPr>
              <w:pStyle w:val="Compact"/>
            </w:pPr>
            <w:r>
              <w:t xml:space="preserve">Most tickers lost money; one-contract shadow results were also negative.</w:t>
            </w:r>
          </w:p>
        </w:tc>
        <w:tc>
          <w:tcPr/>
          <w:p>
            <w:pPr>
              <w:pStyle w:val="Compact"/>
            </w:pPr>
            <w:r>
              <w:t xml:space="preserve">Reject the long-straddle implementation.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2026-09-13 01:12 +0800</w:t>
            </w:r>
          </w:p>
        </w:tc>
        <w:tc>
          <w:tcPr/>
          <w:p>
            <w:pPr>
              <w:pStyle w:val="Compact"/>
            </w:pPr>
            <w:r>
              <w:t xml:space="preserve">The forecast temperature scenario could imply material data-center cooling electricity costs, but the economic magnitude needed to be quantified.</w:t>
            </w:r>
          </w:p>
        </w:tc>
        <w:tc>
          <w:tcPr/>
          <w:p>
            <w:pPr>
              <w:pStyle w:val="Compact"/>
            </w:pPr>
            <w:r>
              <w:t xml:space="preserve">Estimated PUE sensitivity times capacity, operating hours and local electricity rates for disclosed states.</w:t>
            </w:r>
          </w:p>
        </w:tc>
        <w:tc>
          <w:tcPr/>
          <w:p>
            <w:pPr>
              <w:pStyle w:val="Compact"/>
            </w:pPr>
            <w:r>
              <w:t xml:space="preserve">Central December cooling cost increased by approximately $9.19m across six states.</w:t>
            </w:r>
          </w:p>
        </w:tc>
        <w:tc>
          <w:tcPr/>
          <w:p>
            <w:pPr>
              <w:pStyle w:val="Compact"/>
            </w:pPr>
            <w:r>
              <w:t xml:space="preserve">Retain as a plausible operating-cost scenario, not an equity-return forecast.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2026-09-13 02:49 +0800</w:t>
            </w:r>
          </w:p>
        </w:tc>
        <w:tc>
          <w:tcPr/>
          <w:p>
            <w:pPr>
              <w:pStyle w:val="Compact"/>
            </w:pPr>
            <w:r>
              <w:t xml:space="preserve">The same warming scenario might cause incremental 2026 cooling-equipment capex, but committed procurement evidence was uncertain.</w:t>
            </w:r>
          </w:p>
        </w:tc>
        <w:tc>
          <w:tcPr/>
          <w:p>
            <w:pPr>
              <w:pStyle w:val="Compact"/>
            </w:pPr>
            <w:r>
              <w:t xml:space="preserve">Screened design temperatures, lead times, supplier disclosures and procurement evidence.</w:t>
            </w:r>
          </w:p>
        </w:tc>
        <w:tc>
          <w:tcPr/>
          <w:p>
            <w:pPr>
              <w:pStyle w:val="Compact"/>
            </w:pPr>
            <w:r>
              <w:t xml:space="preserve">Central identifiable weather-driven capex was $0; the contingency screen was not committed spend.</w:t>
            </w:r>
          </w:p>
        </w:tc>
        <w:tc>
          <w:tcPr/>
          <w:p>
            <w:pPr>
              <w:pStyle w:val="Compact"/>
            </w:pPr>
            <w:r>
              <w:t xml:space="preserve">Reject the near-term event-capex thesis.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2026-09-13 17:00 +0800</w:t>
            </w:r>
          </w:p>
        </w:tc>
        <w:tc>
          <w:tcPr/>
          <w:p>
            <w:pPr>
              <w:pStyle w:val="Compact"/>
            </w:pPr>
            <w:r>
              <w:t xml:space="preserve">Energy-company returns might respond to peak El Niño conditions, but event windows and multiple testing required controls.</w:t>
            </w:r>
          </w:p>
        </w:tc>
        <w:tc>
          <w:tcPr/>
          <w:p>
            <w:pPr>
              <w:pStyle w:val="Compact"/>
            </w:pPr>
            <w:r>
              <w:t xml:space="preserve">Ran energy peak-event and relative-return tests using delayed ENSO information and benchmark comparisons.</w:t>
            </w:r>
          </w:p>
        </w:tc>
        <w:tc>
          <w:tcPr/>
          <w:p>
            <w:pPr>
              <w:pStyle w:val="Compact"/>
            </w:pPr>
            <w:r>
              <w:t xml:space="preserve">The descriptive COP-XLE relationship did not translate into a robust event-driven strategy.</w:t>
            </w:r>
          </w:p>
        </w:tc>
        <w:tc>
          <w:tcPr/>
          <w:p>
            <w:pPr>
              <w:pStyle w:val="Compact"/>
            </w:pPr>
            <w:r>
              <w:t xml:space="preserve">Keep the correlation as a research lead; reject the current strategy implementation.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2026-09-13 18:52 +0800</w:t>
            </w:r>
          </w:p>
        </w:tc>
        <w:tc>
          <w:tcPr/>
          <w:p>
            <w:pPr>
              <w:pStyle w:val="Compact"/>
            </w:pPr>
            <w:r>
              <w:t xml:space="preserve">A peak El Niño insurer strategy combining short interest, order-book and ATR features could overfit selected windows.</w:t>
            </w:r>
          </w:p>
        </w:tc>
        <w:tc>
          <w:tcPr/>
          <w:p>
            <w:pPr>
              <w:pStyle w:val="Compact"/>
            </w:pPr>
            <w:r>
              <w:t xml:space="preserve">Tested a fixed daily composite with next-open execution and a 2.5x ATR stop against a passive insurer basket.</w:t>
            </w:r>
          </w:p>
        </w:tc>
        <w:tc>
          <w:tcPr/>
          <w:p>
            <w:pPr>
              <w:pStyle w:val="Compact"/>
            </w:pPr>
            <w:r>
              <w:t xml:space="preserve">Enhanced strategy returned -21.9% versus +481.4% for the passive basket in selected windows.</w:t>
            </w:r>
          </w:p>
        </w:tc>
        <w:tc>
          <w:tcPr/>
          <w:p>
            <w:pPr>
              <w:pStyle w:val="Compact"/>
            </w:pPr>
            <w:r>
              <w:t xml:space="preserve">Reject the strategy.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2026-09-13 19:48 +0800</w:t>
            </w:r>
          </w:p>
        </w:tc>
        <w:tc>
          <w:tcPr/>
          <w:p>
            <w:pPr>
              <w:pStyle w:val="Compact"/>
            </w:pPr>
            <w:r>
              <w:t xml:space="preserve">Climate, temperature and metals factors might forecast cooling-stock prices, but market and residual risk could overwhelm the climate signal.</w:t>
            </w:r>
          </w:p>
        </w:tc>
        <w:tc>
          <w:tcPr/>
          <w:p>
            <w:pPr>
              <w:pStyle w:val="Compact"/>
            </w:pPr>
            <w:r>
              <w:t xml:space="preserve">Fit a ridge factor model and ran residual block Monte Carlo scenarios.</w:t>
            </w:r>
          </w:p>
        </w:tc>
        <w:tc>
          <w:tcPr/>
          <w:p>
            <w:pPr>
              <w:pStyle w:val="Compact"/>
            </w:pPr>
            <w:r>
              <w:t xml:space="preserve">Climate scenario spread was small beside market and residual risk; one model had negative out-of-sample R2.</w:t>
            </w:r>
          </w:p>
        </w:tc>
        <w:tc>
          <w:tcPr/>
          <w:p>
            <w:pPr>
              <w:pStyle w:val="Compact"/>
            </w:pPr>
            <w:r>
              <w:t xml:space="preserve">Retain as a stress tool, not a target-price model.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2026-09-13 20:32 +0800</w:t>
            </w:r>
          </w:p>
        </w:tc>
        <w:tc>
          <w:tcPr/>
          <w:p>
            <w:pPr>
              <w:pStyle w:val="Compact"/>
            </w:pPr>
            <w:r>
              <w:t xml:space="preserve">A confirmed ENSO, cooling and news signal might improve the cooling basket after confirmation delays and hedging.</w:t>
            </w:r>
          </w:p>
        </w:tc>
        <w:tc>
          <w:tcPr/>
          <w:p>
            <w:pPr>
              <w:pStyle w:val="Compact"/>
            </w:pPr>
            <w:r>
              <w:t xml:space="preserve">Tested delayed ONI surprise, cooling proxy, lagged news, momentum and beta hedge signals.</w:t>
            </w:r>
          </w:p>
        </w:tc>
        <w:tc>
          <w:tcPr/>
          <w:p>
            <w:pPr>
              <w:pStyle w:val="Compact"/>
            </w:pPr>
            <w:r>
              <w:t xml:space="preserve">Strategy produced 4.42% CAGR, -3.38% max drawdown and HAC p = 0.308 over only eight active months.</w:t>
            </w:r>
          </w:p>
        </w:tc>
        <w:tc>
          <w:tcPr/>
          <w:p>
            <w:pPr>
              <w:pStyle w:val="Compact"/>
            </w:pPr>
            <w:r>
              <w:t xml:space="preserve">Retain only as a risk satellite; evidence is insufficient for promotion.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2026-09-14 21:08 +0800</w:t>
            </w:r>
          </w:p>
        </w:tc>
        <w:tc>
          <w:tcPr/>
          <w:p>
            <w:pPr>
              <w:pStyle w:val="Compact"/>
            </w:pPr>
            <w:r>
              <w:t xml:space="preserve">Portfolio controls could improve the loss profile of the cooling basket even if the climate signal was not independently tradable.</w:t>
            </w:r>
          </w:p>
        </w:tc>
        <w:tc>
          <w:tcPr/>
          <w:p>
            <w:pPr>
              <w:pStyle w:val="Compact"/>
            </w:pPr>
            <w:r>
              <w:t xml:space="preserve">Compared capped inverse volatility, volatility target, trend, drawdown, expected-shortfall, hedge and fixed-sleeve policies.</w:t>
            </w:r>
          </w:p>
        </w:tc>
        <w:tc>
          <w:tcPr/>
          <w:p>
            <w:pPr>
              <w:pStyle w:val="Compact"/>
            </w:pPr>
            <w:r>
              <w:t xml:space="preserve">The drawdown brake retained 77.5% of basic CAGR and reduced maximum drawdown by 33.2%; the result remains in-sample.</w:t>
            </w:r>
          </w:p>
        </w:tc>
        <w:tc>
          <w:tcPr/>
          <w:p>
            <w:pPr>
              <w:pStyle w:val="Compact"/>
            </w:pPr>
            <w:r>
              <w:t xml:space="preserve">Retain the drawdown brake as the only policy passing the stated in-sample gate, pending independent validation.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ENSO Research Decision Log</dc:title>
  <dc:creator/>
  <cp:keywords/>
  <dcterms:created xsi:type="dcterms:W3CDTF">2026-09-14T15:11:01Z</dcterms:created>
  <dcterms:modified xsi:type="dcterms:W3CDTF">2026-09-14T15:11:01Z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