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rPr/>
      </w:pPr>
      <w:r>
        <w:rPr/>
      </w:r>
    </w:p>
    <w:p>
      <w:pPr>
        <w:pStyle w:val="Normal"/>
        <w:spacing w:lineRule="auto" w:line="480" w:before="0" w:after="0"/>
        <w:rPr/>
      </w:pPr>
      <w:r>
        <w:rPr/>
      </w:r>
    </w:p>
    <w:p>
      <w:pPr>
        <w:pStyle w:val="Normal"/>
        <w:spacing w:lineRule="auto" w:line="480" w:before="0" w:after="0"/>
        <w:rPr/>
      </w:pPr>
      <w:r>
        <w:rPr/>
      </w:r>
    </w:p>
    <w:p>
      <w:pPr>
        <w:pStyle w:val="Normal"/>
        <w:spacing w:lineRule="auto" w:line="480" w:before="0" w:after="0"/>
        <w:jc w:val="center"/>
        <w:rPr>
          <w:rFonts w:ascii="Times New Roman" w:hAnsi="Times New Roman" w:eastAsia="SimSun" w:cs="Times New Roman"/>
          <w:b/>
          <w:bCs/>
          <w:sz w:val="24"/>
          <w:szCs w:val="24"/>
        </w:rPr>
      </w:pPr>
      <w:r>
        <w:rPr/>
      </w:r>
    </w:p>
    <w:p>
      <w:pPr>
        <w:pStyle w:val="Normal"/>
        <w:spacing w:lineRule="auto" w:line="480" w:before="0" w:after="0"/>
        <w:rPr/>
      </w:pPr>
      <w:r>
        <w:rPr/>
      </w:r>
    </w:p>
    <w:p>
      <w:pPr>
        <w:pStyle w:val="Normal"/>
        <w:spacing w:lineRule="auto" w:line="480" w:before="0" w:after="0"/>
        <w:jc w:val="center"/>
        <w:rPr/>
      </w:pPr>
      <w:r>
        <w:rPr>
          <w:rFonts w:eastAsia="SimSun" w:cs="Times New Roman"/>
          <w:sz w:val="24"/>
          <w:szCs w:val="24"/>
        </w:rPr>
        <w:t>Bruno Torres Montes de Oca</w:t>
      </w:r>
    </w:p>
    <w:p>
      <w:pPr>
        <w:pStyle w:val="Normal"/>
        <w:spacing w:lineRule="auto" w:line="480" w:before="0" w:after="0"/>
        <w:jc w:val="center"/>
        <w:rPr/>
      </w:pPr>
      <w:r>
        <w:rPr>
          <w:rFonts w:eastAsia="SimSun" w:cs="Times New Roman"/>
          <w:sz w:val="24"/>
          <w:szCs w:val="24"/>
        </w:rPr>
        <w:t>Entrega semana 7</w:t>
      </w:r>
    </w:p>
    <w:p>
      <w:pPr>
        <w:pStyle w:val="Normal"/>
        <w:spacing w:lineRule="auto" w:line="480" w:before="0" w:after="0"/>
        <w:jc w:val="center"/>
        <w:rPr/>
      </w:pPr>
      <w:r>
        <w:rPr>
          <w:rFonts w:eastAsia="SimSun" w:cs="Times New Roman"/>
          <w:sz w:val="24"/>
          <w:szCs w:val="24"/>
        </w:rPr>
        <w:t>17 de octubre de 2026</w:t>
      </w:r>
    </w:p>
    <w:p>
      <w:pPr>
        <w:pStyle w:val="Normal"/>
        <w:spacing w:lineRule="auto" w:line="480" w:before="0" w:after="0"/>
        <w:rPr>
          <w:rFonts w:ascii="Times New Roman" w:hAnsi="Times New Roman" w:eastAsia="SimSun" w:cs="Times New Roman"/>
          <w:sz w:val="24"/>
          <w:szCs w:val="24"/>
        </w:rPr>
      </w:pPr>
      <w:r>
        <w:rPr>
          <w:rFonts w:eastAsia="SimSun" w:cs="Times New Roman"/>
          <w:sz w:val="24"/>
          <w:szCs w:val="24"/>
        </w:rPr>
      </w:r>
      <w:r>
        <w:br w:type="page"/>
      </w:r>
    </w:p>
    <w:p>
      <w:pPr>
        <w:pStyle w:val="Normal"/>
        <w:spacing w:lineRule="auto" w:line="480" w:before="0" w:after="0"/>
        <w:rPr>
          <w:rFonts w:ascii="Times New Roman" w:hAnsi="Times New Roman" w:eastAsia="SimSun" w:cs="Times New Roman"/>
          <w:sz w:val="24"/>
          <w:szCs w:val="24"/>
        </w:rPr>
      </w:pPr>
      <w:r>
        <w:rPr>
          <w:rFonts w:eastAsia="SimSun" w:cs="Times New Roman"/>
          <w:sz w:val="24"/>
          <w:szCs w:val="24"/>
        </w:rPr>
      </w:r>
    </w:p>
    <w:p>
      <w:pPr>
        <w:pStyle w:val="Normal"/>
        <w:spacing w:lineRule="auto" w:line="480" w:before="0" w:after="0"/>
        <w:ind w:hanging="0" w:left="0"/>
        <w:jc w:val="center"/>
        <w:rPr>
          <w:rFonts w:ascii="Times New Roman" w:hAnsi="Times New Roman" w:eastAsia="SimSun" w:cs="Times New Roman"/>
          <w:b/>
          <w:bCs/>
          <w:sz w:val="24"/>
          <w:szCs w:val="24"/>
        </w:rPr>
      </w:pPr>
      <w:r>
        <w:rPr>
          <w:rFonts w:eastAsia="SimSun" w:cs="Times New Roman"/>
          <w:b/>
          <w:bCs/>
          <w:sz w:val="24"/>
          <w:szCs w:val="24"/>
        </w:rPr>
        <w:t>Enfoque de pruebas unitarias</w:t>
      </w:r>
    </w:p>
    <w:p>
      <w:pPr>
        <w:pStyle w:val="Normal"/>
        <w:spacing w:lineRule="auto" w:line="480" w:before="0" w:after="0"/>
        <w:ind w:firstLine="720"/>
        <w:rPr>
          <w:rFonts w:ascii="Times New Roman" w:hAnsi="Times New Roman" w:eastAsia="SimSun" w:cs="Times New Roman"/>
          <w:sz w:val="24"/>
          <w:szCs w:val="24"/>
        </w:rPr>
      </w:pPr>
      <w:r>
        <w:rPr>
          <w:rFonts w:eastAsia="SimSun" w:cs="Times New Roman"/>
          <w:sz w:val="24"/>
          <w:szCs w:val="24"/>
        </w:rPr>
        <w:t>En el servicio de contactos, cada requisito de la clase Contact se convirtió en pruebas de frontera. Para el identificador se aceptó una cadena de exactamente 10 caracteres y se rechazaron el valor nulo y el de 11 caracteres (ContactTest.java, líneas 29-47). Para el teléfono se verificó que solo se aceptan 10 dígitos, rechazando cadenas de 9 y 11 dígitos y una alfanumérica (líneas 95-112), lo cual protege la validación del código fuente (Contact.java, línea 120). El servicio se probó con 19 pruebas (ContactServiceTest.java) que cubren la adición con rechazo de ID duplicado, la eliminación, la búsqueda, la actualización total o parcial de campos y la inmutabilidad del identificador (líneas 223-230). En el servicio de tareas apliqué el mismo patrón con límites de 10, 20 y 50 caracteres (TaskTest.java, líneas 42-48 y 66-72) y 12 pruebas de servicio. En el de citas, el requisito más delicado era que la fecha no pudiera estar en el pasado según before(new Date()) (Appointment.java, línea 69); para probarlo calculé fechas relativas a más y menos un día (AppointmentTest.java, líneas 8-14) y comprobé el rechazo de ambas (líneas 73-85). Como el servicio de citas solo pedía añadir y eliminar, sus 7 pruebas se limitaron a eso.</w:t>
      </w:r>
    </w:p>
    <w:p>
      <w:pPr>
        <w:pStyle w:val="Normal"/>
        <w:spacing w:lineRule="auto" w:line="480" w:before="0" w:after="0"/>
        <w:ind w:firstLine="720"/>
        <w:rPr/>
      </w:pPr>
      <w:r>
        <w:rPr>
          <w:rFonts w:eastAsia="SimSun" w:cs="Times New Roman"/>
          <w:sz w:val="24"/>
          <w:szCs w:val="24"/>
        </w:rPr>
        <w:t>El enfoque se adaptó a los requisitos sin intermediarios. Todo requisito de la forma "no nulo, máximo N caracteres, no actualizable" recibió al menos tres pruebas (valor nulo, valor excedido y valor límite aceptado), así que no quedó requisito sin cubrir. La calidad se puede defender con números. Según el informe de JaCoCo, las clases entidad alcanzan el 100 % de instrucciones y ramas (Contact 104/104 y 20/20; Task 62/62 y 12/12; Appointment 71/71 y 12/12), y los servicios oscilan entre el 97,4 % y el 98,1 %. En total fueron 505/511 instrucciones (98,8 %), 80/86 ramas (93,0 %) y 136/142 líneas (95,8 %), muy por encima del 80 % que pedía la rúbri</w:t>
      </w:r>
      <w:r>
        <w:rPr>
          <w:rFonts w:eastAsia="SimSun" w:cs="Times New Roman"/>
          <w:sz w:val="24"/>
          <w:szCs w:val="24"/>
        </w:rPr>
        <w:t>ca.</w:t>
      </w:r>
    </w:p>
    <w:p>
      <w:pPr>
        <w:pStyle w:val="Normal"/>
        <w:spacing w:lineRule="auto" w:line="480" w:before="0" w:after="0"/>
        <w:ind w:hanging="0" w:left="0"/>
        <w:jc w:val="center"/>
        <w:rPr>
          <w:rFonts w:ascii="Times New Roman" w:hAnsi="Times New Roman" w:eastAsia="SimSun" w:cs="Times New Roman"/>
          <w:b/>
          <w:bCs/>
          <w:sz w:val="24"/>
          <w:szCs w:val="24"/>
        </w:rPr>
      </w:pPr>
      <w:r>
        <w:rPr>
          <w:rFonts w:eastAsia="SimSun" w:cs="Times New Roman"/>
          <w:b/>
          <w:bCs/>
          <w:sz w:val="24"/>
          <w:szCs w:val="24"/>
        </w:rPr>
        <w:t>Experiencia escribiendo las pruebas Junit</w:t>
      </w:r>
    </w:p>
    <w:p>
      <w:pPr>
        <w:pStyle w:val="Normal"/>
        <w:spacing w:lineRule="auto" w:line="480" w:before="0" w:after="0"/>
        <w:ind w:firstLine="720"/>
        <w:rPr>
          <w:rFonts w:ascii="Times New Roman" w:hAnsi="Times New Roman" w:eastAsia="SimSun" w:cs="Times New Roman"/>
          <w:sz w:val="24"/>
          <w:szCs w:val="24"/>
        </w:rPr>
      </w:pPr>
      <w:r>
        <w:rPr>
          <w:rFonts w:eastAsia="SimSun" w:cs="Times New Roman"/>
          <w:sz w:val="24"/>
          <w:szCs w:val="24"/>
        </w:rPr>
        <w:t>Para que el código fuera técnicamente sólido usé aserciones exactas sobre valores concretos, verifiqué las excepciones con assertThrows(IllegalArgumentException.class, ...) y aislé cada prueba con un servicio nuevo mediante @BeforeEach (ContactServiceTest.java, líneas 17-20). También incluí pruebas de efecto colateral. Al actualizar un campo se comprueba que los demás permanecen intactos (TaskTest.java, líneas 129-136) y que el identificador no cambia (TaskServiceTest.java, líneas 128-137). Al principio repetía los mismos datos en cada prueba. Extraerlos a métodos auxiliares (crearContactoEjemplo, ContactServiceTest.java, líneas 22-24, y las fechas relativas calculadas con 86_400_000 milisegundos de AppointmentTest.java, línea 9) me ahorró muchas líneas, y ahora cualquier cambio en el objeto de ejemplo se propaga solo. Aproveché además que updateContact ignora los parámetros nulos para probar actualizaciones parciales en una sola llamada (línea 106), y agrupé varias aserciones cuando describen el mismo escenario (líneas 94-97). Así, 97 pruebas caben en menos de 1 000 líneas.</w:t>
      </w:r>
    </w:p>
    <w:p>
      <w:pPr>
        <w:pStyle w:val="Normal"/>
        <w:spacing w:lineRule="auto" w:line="480" w:before="0" w:after="0"/>
        <w:ind w:firstLine="720"/>
        <w:rPr>
          <w:rFonts w:ascii="Times New Roman" w:hAnsi="Times New Roman" w:eastAsia="SimSun" w:cs="Times New Roman"/>
          <w:b/>
          <w:bCs/>
          <w:sz w:val="24"/>
          <w:szCs w:val="24"/>
        </w:rPr>
      </w:pPr>
      <w:r>
        <w:rPr>
          <w:rFonts w:eastAsia="SimSun" w:cs="Times New Roman"/>
          <w:b/>
          <w:bCs/>
          <w:sz w:val="24"/>
          <w:szCs w:val="24"/>
        </w:rPr>
      </w:r>
    </w:p>
    <w:p>
      <w:pPr>
        <w:pStyle w:val="Normal"/>
        <w:spacing w:lineRule="auto" w:line="480" w:before="0" w:after="0"/>
        <w:ind w:hanging="0" w:left="0"/>
        <w:jc w:val="center"/>
        <w:rPr>
          <w:rFonts w:ascii="Times New Roman" w:hAnsi="Times New Roman" w:eastAsia="SimSun" w:cs="Times New Roman"/>
          <w:b/>
          <w:bCs/>
          <w:sz w:val="24"/>
          <w:szCs w:val="24"/>
        </w:rPr>
      </w:pPr>
      <w:r>
        <w:rPr>
          <w:rFonts w:eastAsia="SimSun" w:cs="Times New Roman"/>
          <w:b/>
          <w:bCs/>
          <w:sz w:val="24"/>
          <w:szCs w:val="24"/>
        </w:rPr>
        <w:t>Técnicas de prueba empleadas</w:t>
      </w:r>
    </w:p>
    <w:p>
      <w:pPr>
        <w:pStyle w:val="Normal"/>
        <w:spacing w:lineRule="auto" w:line="480" w:before="0" w:after="0"/>
        <w:ind w:firstLine="720"/>
        <w:rPr>
          <w:rFonts w:ascii="Times New Roman" w:hAnsi="Times New Roman" w:eastAsia="SimSun" w:cs="Times New Roman"/>
          <w:sz w:val="24"/>
          <w:szCs w:val="24"/>
        </w:rPr>
      </w:pPr>
      <w:r>
        <w:rPr>
          <w:rFonts w:eastAsia="SimSun" w:cs="Times New Roman"/>
          <w:sz w:val="24"/>
          <w:szCs w:val="24"/>
        </w:rPr>
        <w:t>El proyecto se apoyó en pruebas unitarias de caja blanca con JUnit 5, es decir, pruebas aisladas, rápidas y repetibles que miran dentro del código (JUnit Team, s. f.; Myers et al., 2011). Encima de esa base usé dos técnicas de diseño de casos. La partición de equivalencia agrupa las entradas en clases válidas e inválidas (nulo, demasiado largo, formato incorrecto); con un representante de cada clase basta para detectar defectos. El análisis de valores límite parte de la idea de que los defectos se concentran en los extremos, así que probé los límites exactos de 10, 20, 30 y 50 caracteres, los 10 dígitos del teléfono y la fecha a un día del presente. Completaron el trabajo las pruebas negativas con assertThrows y la cobertura de instrucciones y ramas de JaCoCo como criterio objetivo de completitud.</w:t>
      </w:r>
    </w:p>
    <w:p>
      <w:pPr>
        <w:pStyle w:val="Normal"/>
        <w:spacing w:lineRule="auto" w:line="480" w:before="0" w:after="0"/>
        <w:ind w:hanging="0" w:left="0"/>
        <w:jc w:val="center"/>
        <w:rPr>
          <w:rFonts w:ascii="Times New Roman" w:hAnsi="Times New Roman" w:eastAsia="SimSun" w:cs="Times New Roman"/>
          <w:b/>
          <w:bCs/>
          <w:sz w:val="24"/>
          <w:szCs w:val="24"/>
        </w:rPr>
      </w:pPr>
      <w:r>
        <w:rPr>
          <w:rFonts w:eastAsia="SimSun" w:cs="Times New Roman"/>
          <w:b/>
          <w:bCs/>
          <w:sz w:val="24"/>
          <w:szCs w:val="24"/>
        </w:rPr>
        <w:t>Técnicas no empleadas</w:t>
      </w:r>
    </w:p>
    <w:p>
      <w:pPr>
        <w:pStyle w:val="Normal"/>
        <w:spacing w:lineRule="auto" w:line="480" w:before="0" w:after="0"/>
        <w:ind w:firstLine="720"/>
        <w:rPr>
          <w:rFonts w:ascii="Times New Roman" w:hAnsi="Times New Roman" w:eastAsia="SimSun" w:cs="Times New Roman"/>
          <w:sz w:val="24"/>
          <w:szCs w:val="24"/>
        </w:rPr>
      </w:pPr>
      <w:r>
        <w:rPr>
          <w:rFonts w:eastAsia="SimSun" w:cs="Times New Roman"/>
          <w:sz w:val="24"/>
          <w:szCs w:val="24"/>
        </w:rPr>
        <w:t>No usé pruebas de integración porque cada servicio es independiente y no interactúa con otros módulos; esas pruebas verifican las interfaces entre componentes y con sistemas externos. Tampoco hubo pruebas de interfaz de usuario ni de extremo a extremo, pues no había IU; en la aplicación móvil real se automatizarían con herramientas como Appium. Quedaron fuera las pruebas de rendimiento y carga, que solo se justifican con alta concurrencia; las de mutación, que introducen defectos deliberados para medir la verdadera fuerza de una suite ya cubierta; y las de regresión en integración continua y de aceptación de usuario, que requieren un pipeline y la participación del cliente.</w:t>
      </w:r>
    </w:p>
    <w:p>
      <w:pPr>
        <w:pStyle w:val="Normal"/>
        <w:spacing w:lineRule="auto" w:line="480" w:before="0" w:after="0"/>
        <w:ind w:firstLine="720"/>
        <w:rPr/>
      </w:pPr>
      <w:r>
        <w:rPr>
          <w:rFonts w:eastAsia="SimSun" w:cs="Times New Roman"/>
          <w:sz w:val="24"/>
          <w:szCs w:val="24"/>
        </w:rPr>
        <w:t>Cada técnica tiene su sitio en la pirámide de pruebas. Las unitarias son baratas y sirven para la lógica de negocio. Las de integración son necesarias cuando entran bases de datos o APIs externas, porque ahí fallan las suposiciones entre módulos. Las de extremo a extremo validan flujos completos, pero son lentas y frágiles, así que se reservan a los recorridos críticos, y las de rendimiento solo tienen sentido con picos de carga. La implicación general es económica. Cuanto más tarde se detecta un defecto, más cuesta corregirlo (Sommerville, 2016), y adelantar la verificación reduce riesgo y coste.</w:t>
      </w:r>
    </w:p>
    <w:p>
      <w:pPr>
        <w:pStyle w:val="Normal"/>
        <w:spacing w:lineRule="auto" w:line="480" w:before="0" w:after="0"/>
        <w:ind w:hanging="0" w:left="0"/>
        <w:jc w:val="center"/>
        <w:rPr>
          <w:rFonts w:ascii="Times New Roman" w:hAnsi="Times New Roman" w:eastAsia="SimSun" w:cs="Times New Roman"/>
          <w:b/>
          <w:bCs/>
          <w:sz w:val="24"/>
          <w:szCs w:val="24"/>
        </w:rPr>
      </w:pPr>
      <w:r>
        <w:rPr>
          <w:rFonts w:eastAsia="SimSun" w:cs="Times New Roman"/>
          <w:b/>
          <w:bCs/>
          <w:sz w:val="24"/>
          <w:szCs w:val="24"/>
        </w:rPr>
        <w:t>Precaución y complejidad</w:t>
      </w:r>
    </w:p>
    <w:p>
      <w:pPr>
        <w:pStyle w:val="Normal"/>
        <w:spacing w:lineRule="auto" w:line="480" w:before="0" w:after="0"/>
        <w:ind w:firstLine="720"/>
        <w:rPr>
          <w:rFonts w:ascii="Times New Roman" w:hAnsi="Times New Roman" w:eastAsia="SimSun" w:cs="Times New Roman"/>
          <w:sz w:val="24"/>
          <w:szCs w:val="24"/>
        </w:rPr>
      </w:pPr>
      <w:r>
        <w:rPr>
          <w:rFonts w:eastAsia="SimSun" w:cs="Times New Roman"/>
          <w:sz w:val="24"/>
          <w:szCs w:val="24"/>
        </w:rPr>
        <w:t>Asumí que el código podía fallar y diseñé cada prueba para intentar romperlo. Entradas nulas, cadenas de un carácter más allá del límite, fechas de ayer. Entender las interrelaciones del código fue igual de importante. El constructor de Contact delega la validación en los setters (Contact.java, líneas 39-42), así que crear un objeto ejerce toda la cadena; y los servicios delegan las actualizaciones en las entidades, de modo que un cambio en Contact afecta también a ContactService. Por eso las pruebas verifican efectos colaterales. Al actualizar el teléfono se confirma que nombre, apellido y dirección quedan intactos (ContactServiceTest.java, líneas 128-140). Si se ignoran esas interrelaciones, los defectos de estado compartido pasan desapercibidos.</w:t>
      </w:r>
    </w:p>
    <w:p>
      <w:pPr>
        <w:pStyle w:val="Normal"/>
        <w:spacing w:lineRule="auto" w:line="480" w:before="0" w:after="0"/>
        <w:ind w:hanging="0" w:left="0"/>
        <w:jc w:val="center"/>
        <w:rPr>
          <w:rFonts w:ascii="Times New Roman" w:hAnsi="Times New Roman" w:eastAsia="SimSun" w:cs="Times New Roman"/>
          <w:b/>
          <w:bCs/>
          <w:sz w:val="24"/>
          <w:szCs w:val="24"/>
        </w:rPr>
      </w:pPr>
      <w:r>
        <w:rPr>
          <w:rFonts w:eastAsia="SimSun" w:cs="Times New Roman"/>
          <w:b/>
          <w:bCs/>
          <w:sz w:val="24"/>
          <w:szCs w:val="24"/>
        </w:rPr>
        <w:t xml:space="preserve">Sesgos </w:t>
      </w:r>
    </w:p>
    <w:p>
      <w:pPr>
        <w:pStyle w:val="Normal"/>
        <w:spacing w:lineRule="auto" w:line="480" w:before="0" w:after="0"/>
        <w:ind w:firstLine="720"/>
        <w:rPr>
          <w:rFonts w:ascii="Times New Roman" w:hAnsi="Times New Roman" w:eastAsia="SimSun" w:cs="Times New Roman"/>
          <w:sz w:val="24"/>
          <w:szCs w:val="24"/>
        </w:rPr>
      </w:pPr>
      <w:r>
        <w:rPr>
          <w:rFonts w:eastAsia="SimSun" w:cs="Times New Roman"/>
          <w:sz w:val="24"/>
          <w:szCs w:val="24"/>
        </w:rPr>
        <w:t>Para limitar el sesgo de confirmación mantuve una lista de requisitos frente a pruebas y, por cada campo, me pregunté qué entrada inválida aún no había probado. Esa rutina obligó a incluir casos que mi intuición de desarrollador descartaba, como el teléfono alfanumérico "12345abcde" (ContactTest.java, líneas 109-112). El sesgo sí preocupa cuando uno prueba su propio código. Yo escribí la validación telefono.matches("\\d{10}") y conocía sus supuestos, así que tendía a confiar en ella. Al ser desarrollador y evaluador a la vez, lo contrarresté con criterios objetivos (cobertura mínima del 80 %) y con pruebas cruzadas entre clases. En un equipo profesional la solución real es otra. Hay que separar roles y revisar el código de forma cruzada.</w:t>
      </w:r>
    </w:p>
    <w:p>
      <w:pPr>
        <w:pStyle w:val="Normal"/>
        <w:spacing w:lineRule="auto" w:line="480" w:before="0" w:after="0"/>
        <w:ind w:hanging="0" w:left="0"/>
        <w:jc w:val="center"/>
        <w:rPr>
          <w:rFonts w:ascii="Times New Roman" w:hAnsi="Times New Roman" w:eastAsia="SimSun" w:cs="Times New Roman"/>
          <w:b/>
          <w:bCs/>
          <w:sz w:val="24"/>
          <w:szCs w:val="24"/>
        </w:rPr>
      </w:pPr>
      <w:r>
        <w:rPr>
          <w:rFonts w:eastAsia="SimSun" w:cs="Times New Roman"/>
          <w:b/>
          <w:bCs/>
          <w:sz w:val="24"/>
          <w:szCs w:val="24"/>
        </w:rPr>
        <w:t>Disciplina y deuda técnica</w:t>
      </w:r>
    </w:p>
    <w:p>
      <w:pPr>
        <w:pStyle w:val="Normal"/>
        <w:spacing w:lineRule="auto" w:line="480" w:before="0" w:after="0"/>
        <w:ind w:firstLine="720"/>
        <w:rPr>
          <w:rFonts w:ascii="Times New Roman" w:hAnsi="Times New Roman" w:eastAsia="SimSun" w:cs="Times New Roman"/>
          <w:sz w:val="24"/>
          <w:szCs w:val="24"/>
        </w:rPr>
      </w:pPr>
      <w:r>
        <w:rPr>
          <w:rFonts w:eastAsia="SimSun" w:cs="Times New Roman"/>
          <w:sz w:val="24"/>
          <w:szCs w:val="24"/>
        </w:rPr>
        <w:t>No escatimar en pruebas protege la confianza del cliente. Un defecto que llega a producción en su aplicación móvil cuesta mucho más que una prueba escrita a tiempo, y el 80 % de cobertura era para mí un piso, no un techo. La deuda técnica se parece a un préstamo. Los atajos de hoy se pagan con intereses futuros (Fowler, 2019). Mi manera de evitarla fue escribir las pruebas junto al código de cada entrega, refactorizar la duplicación en métodos auxiliares (AppointmentTest.java, líneas 8-14) y no añadir funcionalidad nueva hasta tener la suite en verde. Por ejemplo, en las citas el atajo habría sido validar la fecha solo en el constructor, pero el requisito afecta también a la modificación, así que se validó en setFecha (Appointment.java, líneas 64-73) y se probó aparte (AppointmentTest.java, líneas 98-105). Los 93,0 % de cobertura de ramas, con seis ramas residuales en los bucles de búsqueda de los servicios, dejan una mejora honesta para el futuro.</w:t>
      </w:r>
    </w:p>
    <w:p>
      <w:pPr>
        <w:pStyle w:val="Heading1"/>
        <w:spacing w:lineRule="auto" w:line="480" w:before="0" w:after="0"/>
        <w:jc w:val="center"/>
        <w:rPr>
          <w:color w:val="000000"/>
        </w:rPr>
      </w:pPr>
      <w:r>
        <w:rPr>
          <w:rFonts w:eastAsia="SimSun" w:cs="Times New Roman"/>
          <w:b/>
          <w:bCs/>
          <w:color w:val="000000"/>
          <w:sz w:val="24"/>
          <w:szCs w:val="24"/>
        </w:rPr>
        <w:t>Referencias</w:t>
      </w:r>
    </w:p>
    <w:p>
      <w:pPr>
        <w:pStyle w:val="Normal"/>
        <w:spacing w:lineRule="auto" w:line="480" w:before="0" w:after="0"/>
        <w:ind w:hanging="720" w:left="720"/>
        <w:rPr>
          <w:rFonts w:ascii="Times New Roman" w:hAnsi="Times New Roman" w:eastAsia="SimSun" w:cs="Times New Roman"/>
          <w:sz w:val="24"/>
          <w:szCs w:val="24"/>
        </w:rPr>
      </w:pPr>
      <w:r>
        <w:rPr>
          <w:rFonts w:eastAsia="SimSun" w:cs="Times New Roman"/>
          <w:sz w:val="24"/>
          <w:szCs w:val="24"/>
        </w:rPr>
        <w:t>Fowler, M. (21 de mayo de 2019). Technical debt. martinfowler.com. https://martinfowler.com/bliki/TechnicalDebt.html</w:t>
      </w:r>
    </w:p>
    <w:p>
      <w:pPr>
        <w:pStyle w:val="Normal"/>
        <w:spacing w:lineRule="auto" w:line="480" w:before="0" w:after="0"/>
        <w:ind w:hanging="720" w:left="720"/>
        <w:rPr/>
      </w:pPr>
      <w:r>
        <w:rPr>
          <w:rFonts w:eastAsia="SimSun" w:cs="Times New Roman"/>
          <w:sz w:val="24"/>
          <w:szCs w:val="24"/>
        </w:rPr>
        <w:t>JUnit Team. (s. f.). JUnit 5 user guide. Recuperado el 17 de octubre de 2026, de https://junit.org/junit5/docs/current/user-guide/</w:t>
      </w:r>
    </w:p>
    <w:p>
      <w:pPr>
        <w:pStyle w:val="Normal"/>
        <w:spacing w:lineRule="auto" w:line="480" w:before="0" w:after="0"/>
        <w:ind w:hanging="720" w:left="720"/>
        <w:rPr/>
      </w:pPr>
      <w:r>
        <w:rPr>
          <w:rFonts w:eastAsia="SimSun" w:cs="Times New Roman"/>
          <w:sz w:val="24"/>
          <w:szCs w:val="24"/>
        </w:rPr>
        <w:t>Myers, G. J., Sandler, C. y Badgett, T. (2011). The art of software testing (3.ª ed.). John Wiley &amp; Sons.</w:t>
      </w:r>
    </w:p>
    <w:p>
      <w:pPr>
        <w:pStyle w:val="Normal"/>
        <w:spacing w:lineRule="auto" w:line="480" w:before="0" w:after="0"/>
        <w:ind w:hanging="720" w:left="720"/>
        <w:rPr/>
      </w:pPr>
      <w:r>
        <w:rPr>
          <w:rFonts w:eastAsia="SimSun" w:cs="Times New Roman"/>
          <w:sz w:val="24"/>
          <w:szCs w:val="24"/>
        </w:rPr>
        <w:t>Sommerville, I. (2016). Software engineering (10.ª ed.). Pearson.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SimSun" w:cs="Times New Roman"/>
        <w:i/>
        <w:i/>
        <w:iCs/>
        <w:sz w:val="24"/>
        <w:szCs w:val="24"/>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SimSun" w:cs="Times New Roman"/>
        <w:i/>
        <w:i/>
        <w:iCs/>
        <w:sz w:val="24"/>
        <w:szCs w:val="24"/>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w:t>
    </w:r>
    <w:r>
      <w:rPr/>
      <w:fldChar w:fldCharType="end"/>
    </w:r>
  </w:p>
</w:hdr>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s-MX"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es-MX"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SimSun" w:cs="Lucida Sans"/>
      <w:b/>
      <w:bCs/>
      <w:color w:val="auto"/>
      <w:kern w:val="0"/>
      <w:sz w:val="20"/>
      <w:szCs w:val="20"/>
      <w:lang w:val="es-MX"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LibreOffice/25.2.7.2$Windows_X86_64 LibreOffice_project/5cbfd1ab6520636bb5f7b99185aa69bd7456825d</Application>
  <AppVersion>15.0000</AppVersion>
  <Pages>6</Pages>
  <Words>1287</Words>
  <Characters>6946</Characters>
  <CharactersWithSpaces>8209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2026-10-17T20:45:26Z</dcterms:created>
  <dc:creator>Un-named</dc:creator>
  <dc:description/>
  <dc:language>en-US</dc:language>
  <cp:lastModifiedBy/>
  <dcterms:modified xsi:type="dcterms:W3CDTF">2026-10-17T18:19:53Z</dcterms:modified>
  <cp:revision>5</cp:revision>
  <dc:subject/>
  <dc:title/>
</cp:coreProperties>
</file>