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Aprendizado Contínuo</w:t>
      </w:r>
    </w:p>
    <w:p>
      <w:r>
        <w:rPr>
          <w:i/>
          <w:color w:val="595959"/>
          <w:sz w:val="26"/>
        </w:rPr>
        <w:t>Precificação de Imóveis — King County, Washington · Entregável 4 (D4)</w:t>
      </w:r>
    </w:p>
    <w:p>
      <w:pPr>
        <w:pStyle w:val="Heading1"/>
      </w:pPr>
      <w:r>
        <w:t>1. Ciclo Completo</w:t>
      </w:r>
    </w:p>
    <w:p>
      <w:r>
        <w:t>O ciclo de aprendizado contínuo fecha o loop entre o resultado real de mercado e o modelo em produção: venda efetiva capturada → acúmulo de lote rotulado novo → retraining periódico → reavaliação completa (candidato vs. produção, por segmento) → shadow deployment → promoção apenas com aprovação humana → rollout canário, com rollback disponível a qualquer ponto.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48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ous_learning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Ciclo de aprendizado contínuo: venda real → retraining → reavaliação por segmento → shadow → aprovação humana → rollout canário, com rollback disponível a qualquer ponto.</w:t>
      </w:r>
    </w:p>
    <w:p>
      <w:pPr>
        <w:pStyle w:val="Heading1"/>
      </w:pPr>
      <w:r>
        <w:t>2. Captura de Resultado Real</w:t>
      </w:r>
    </w:p>
    <w:p>
      <w:r>
        <w:t>Cada predição já loga banda de preço e cluster físico previstos (documento de Estratégia de Deploy, seção 3). Quando a venda efetiva de um imóvel previsto se concretiza (fonte externa — registro público de venda, integração com o sistema de transação), o par (features da requisição, preço real) vira uma linha de dado rotulado novo — mesmo schema de kc_house_data.csv, sem exigir re-anotação manual.</w:t>
      </w:r>
    </w:p>
    <w:p>
      <w:pPr>
        <w:pStyle w:val="Heading1"/>
      </w:pPr>
      <w:r>
        <w:t>3. Acúmulo e Retraining Periódico</w:t>
      </w:r>
    </w:p>
    <w:p>
      <w:r>
        <w:t>Lotes de dados rotulados novos se acumulam em data/raw/ (nunca sobrescrevendo o raw original, P1) até atingir um volume mínimo que justifique retraining (ex.: N ≥ 500 vendas novas, ou um intervalo fixo — ex.: trimestral — o que vier primeiro).</w:t>
      </w:r>
    </w:p>
    <w:p>
      <w:r>
        <w:rPr>
          <w:b/>
        </w:rPr>
        <w:t xml:space="preserve">Retraining: </w:t>
      </w:r>
      <w:r>
        <w:t>roda via scripts/train_model.py + scripts/finalize_model.py — o mesmo pipeline usado nas fases 10/13 desta execução — nunca notebook a notebook manualmente (P5). Isso garante que o candidato novo passa pelas mesmas etapas (segmentação → features → ablation → seleção de modelo → refit final) que o modelo atual passou, sem atalho.</w:t>
      </w:r>
    </w:p>
    <w:p>
      <w:pPr>
        <w:pStyle w:val="Heading1"/>
      </w:pPr>
      <w:r>
        <w:t>4. Reavaliação — Critério de Substituição por Segmento</w:t>
      </w:r>
    </w:p>
    <w:p>
      <w:r>
        <w:t>É a lição mais concreta que esta própria execução produziu: a fase 05 adotou uma técnica de augmentation que melhorava a métrica agregada de treino (CV -20,5%) mas piorava a generalização real (test +8,8%) — só descoberto porque a fase 11 quebrou o resultado por segmento em vez de aceitar o número agregado. O critério de substituição em produção aplica a mesma disciplina:</w:t>
      </w:r>
    </w:p>
    <w:p>
      <w:pPr>
        <w:pStyle w:val="ListBullet"/>
      </w:pPr>
      <w:r>
        <w:t>candidato treinado com o pipeline completo (fases 06-13 desta execução, reaplicadas ao dado acumulado).</w:t>
      </w:r>
    </w:p>
    <w:p>
      <w:pPr>
        <w:pStyle w:val="ListBullet"/>
      </w:pPr>
      <w:r>
        <w:t>GroupKFold por zipcode sobre o train do candidato — nunca holdout aleatório (P1).</w:t>
      </w:r>
    </w:p>
    <w:p>
      <w:pPr>
        <w:pStyle w:val="ListBullet"/>
      </w:pPr>
      <w:r>
        <w:t>Error Matrix comparativo candidato vs. produção atual, quebrado por banda de preço, cluster físico, característica (waterfront/grade≥10/view/renovado) e zipcode (P3).</w:t>
      </w:r>
    </w:p>
    <w:p>
      <w:r>
        <w:rPr>
          <w:b/>
        </w:rPr>
        <w:t xml:space="preserve">Critério de aceite: </w:t>
      </w:r>
      <w:r>
        <w:t>promove só se o candidato não piorar o MAE em nenhum segmento do SLA (documento de Estratégia de Deploy, seção 5) em mais de uma margem tolerável (ex.: 2%, mesmo padrão usado nos critérios de aceite das fases 05/12 desta execução) — mesmo que a métrica agregada melhore. Uma melhoria agregada que esconde piora em Luxury/waterfront é rejeitada, não promovida.</w:t>
      </w:r>
    </w:p>
    <w:p>
      <w:pPr>
        <w:pStyle w:val="Heading1"/>
      </w:pPr>
      <w:r>
        <w:t>5. Shadow Deployment</w:t>
      </w:r>
    </w:p>
    <w:p>
      <w:r>
        <w:t>O candidato aprovado na reavaliação roda em paralelo à produção (mesmo tráfego real, predições não servidas ao cliente) por um período mínimo (ex.: 2 semanas, ou volume equivalente ao usado na reavaliação offline) — confirma que o comportamento em dado de produção real bate com a reavaliação offline antes de qualquer decisão de promoção.</w:t>
      </w:r>
    </w:p>
    <w:p>
      <w:pPr>
        <w:pStyle w:val="Heading1"/>
      </w:pPr>
      <w:r>
        <w:t>6. Promoção — Nunca Automática (P6)</w:t>
      </w:r>
    </w:p>
    <w:p>
      <w:r>
        <w:t>O resultado do shadow deployment + Error Matrix comparativo é apresentado para aprovação humana explícita — o pipeline recomenda (status: RECOMMENDED_FOR_PROMOTION no production_contract.yaml do candidato), nunca substitui sozinho. Mesma regra de governança da fase 14 desta execução.</w:t>
      </w:r>
    </w:p>
    <w:p>
      <w:pPr>
        <w:pStyle w:val="Heading1"/>
      </w:pPr>
      <w:r>
        <w:t>7. Rollout e Rollback</w:t>
      </w:r>
    </w:p>
    <w:p>
      <w:r>
        <w:t>Após aprovação: rollout gradual (ex.: 5% → 25% → 100% do tráfego, com checkpoint de Error Matrix por segmento em cada etapa). Rollback disponível a qualquer momento — a versão anterior do production_contract.yaml + model_final.pkl permanece versionada no Model Registry (nunca sobrescrita), então reverter é trocar qual versão está ativa, não reconstruir o modelo anterior do zero.</w:t>
      </w:r>
    </w:p>
    <w:p>
      <w:pPr>
        <w:pStyle w:val="Heading1"/>
      </w:pPr>
      <w:r>
        <w:t>Conclusão</w:t>
      </w:r>
    </w:p>
    <w:p>
      <w:r>
        <w:t>O ciclo de aprendizado contínuo fecha o loop entre resultado real e modelo em produção sem nunca automatizar a decisão final: retraining é automático até "candidato aprovado para shadow"; a promoção do shadow para produção sempre exige aprovação humana explícita (P6). O critério de substituição por segmento — não por métrica agregada — é a formalização direta da lição mais concreta que o próprio projeto produziu, na reversão da decisão de augmentation entre as fases 05 e 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