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Desenvolvimento do Modelo de Machine Learning</w:t>
      </w:r>
    </w:p>
    <w:p>
      <w:r>
        <w:rPr>
          <w:i/>
          <w:color w:val="595959"/>
          <w:sz w:val="26"/>
        </w:rPr>
        <w:t>Precificação de Imóveis — King County, Washington</w:t>
      </w:r>
    </w:p>
    <w:p>
      <w:pPr>
        <w:pStyle w:val="Heading1"/>
      </w:pPr>
      <w:r>
        <w:t>1. Visão Geral da Estratégia</w:t>
      </w:r>
    </w:p>
    <w:p>
      <w:r>
        <w:t>O desenvolvimento do modelo segue um princípio central: hipótese de fundo é que a escolha de features pesa mais que a escolha de algoritmo. Por isso, o esforço principal foi em feature engineering robusto (fases 07-09), enquanto a seleção de modelo (fase 10) comparou apenas dois algoritmos relevantes: Ridge (regressão linear regularizada) e XGBoost (árvores potenciadas).</w:t>
      </w:r>
    </w:p>
    <w:p>
      <w:r>
        <w:t>Validação estratégica: nunca foi usado train_test_split aleatório como critério principal. Em seu lugar, GroupKFold(zipcode) simula a generalização geográfica real — cada fold mantém zipcodes inteiros fora do treinamento, respondendo à pergunta: "O modelo consegue prever em regiões nunca vistas?"</w:t>
      </w:r>
    </w:p>
    <w:p>
      <w:pPr>
        <w:pStyle w:val="Heading1"/>
      </w:pPr>
      <w:r>
        <w:t>2. Variáveis Importantes (Feature Selection)</w:t>
      </w:r>
    </w:p>
    <w:p>
      <w:pPr>
        <w:pStyle w:val="Heading2"/>
      </w:pPr>
      <w:r>
        <w:t>2.1 Conjunto Final de Features (20 variáveis)</w:t>
      </w:r>
    </w:p>
    <w:p>
      <w:r>
        <w:t>Após ablation testing rigoroso (fase 09), o conjunto final de 20 features é composto por: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Features (20 total)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Motivo da Seleção</w:t>
            </w:r>
          </w:p>
        </w:tc>
      </w:tr>
      <w:tr>
        <w:tc>
          <w:tcPr>
            <w:tcW w:type="dxa" w:w="3120"/>
          </w:tcPr>
          <w:p>
            <w:r>
              <w:t>Físicas Base (6)</w:t>
            </w:r>
          </w:p>
        </w:tc>
        <w:tc>
          <w:tcPr>
            <w:tcW w:type="dxa" w:w="3120"/>
          </w:tcPr>
          <w:p>
            <w:r>
              <w:t>grade, sqft_living, bathrooms, condition, yr_built, sqft_basement</w:t>
            </w:r>
          </w:p>
        </w:tc>
        <w:tc>
          <w:tcPr>
            <w:tcW w:type="dxa" w:w="3120"/>
          </w:tcPr>
          <w:p>
            <w:r>
              <w:t>Correlação bruta alta com preço (0,7+); intrinsecamente associadas ao imóvel</w:t>
            </w:r>
          </w:p>
        </w:tc>
      </w:tr>
      <w:tr>
        <w:tc>
          <w:tcPr>
            <w:tcW w:type="dxa" w:w="3120"/>
          </w:tcPr>
          <w:p>
            <w:r>
              <w:t>Demográficas (5)</w:t>
            </w:r>
          </w:p>
        </w:tc>
        <w:tc>
          <w:tcPr>
            <w:tcW w:type="dxa" w:w="3120"/>
          </w:tcPr>
          <w:p>
            <w:r>
              <w:t>per_bchlr, per_grad, median_hh_income, hous_val_amt, unemployment</w:t>
            </w:r>
          </w:p>
        </w:tc>
        <w:tc>
          <w:tcPr>
            <w:tcW w:type="dxa" w:w="3120"/>
          </w:tcPr>
          <w:p>
            <w:r>
              <w:t>Contexto socioeconômico da região; captura efeito de vizinhança</w:t>
            </w:r>
          </w:p>
        </w:tc>
      </w:tr>
      <w:tr>
        <w:tc>
          <w:tcPr>
            <w:tcW w:type="dxa" w:w="3120"/>
          </w:tcPr>
          <w:p>
            <w:r>
              <w:t>Espaciais (4)</w:t>
            </w:r>
          </w:p>
        </w:tc>
        <w:tc>
          <w:tcPr>
            <w:tcW w:type="dxa" w:w="3120"/>
          </w:tcPr>
          <w:p>
            <w:r>
              <w:t>dist_to_seattle_center, comps_knn_price, local_grade_percentile, sqft_living15</w:t>
            </w:r>
          </w:p>
        </w:tc>
        <w:tc>
          <w:tcPr>
            <w:tcW w:type="dxa" w:w="3120"/>
          </w:tcPr>
          <w:p>
            <w:r>
              <w:t>Comparáveis locais (maior correlação 0,833); localização relativa</w:t>
            </w:r>
          </w:p>
        </w:tc>
      </w:tr>
      <w:tr>
        <w:tc>
          <w:tcPr>
            <w:tcW w:type="dxa" w:w="3120"/>
          </w:tcPr>
          <w:p>
            <w:r>
              <w:t>Derivadas (5)</w:t>
            </w:r>
          </w:p>
        </w:tc>
        <w:tc>
          <w:tcPr>
            <w:tcW w:type="dxa" w:w="3120"/>
          </w:tcPr>
          <w:p>
            <w:r>
              <w:t>waterfront, view, property_age, sqft_lot, sqft_above</w:t>
            </w:r>
          </w:p>
        </w:tc>
        <w:tc>
          <w:tcPr>
            <w:tcW w:type="dxa" w:w="3120"/>
          </w:tcPr>
          <w:p>
            <w:r>
              <w:t>Características especiais; padrões que XGBoost capta sozinho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14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b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— Ablation testing: impacto de cada conjunto de features no MAE via GroupKFold, fase 09.</w:t>
      </w:r>
    </w:p>
    <w:p>
      <w:pPr>
        <w:pStyle w:val="Heading2"/>
      </w:pPr>
      <w:r>
        <w:t>2.2 Por Que Essas Features?</w:t>
      </w:r>
    </w:p>
    <w:p>
      <w:r>
        <w:t>Decisão sobre raw/derived features:</w:t>
      </w:r>
    </w:p>
    <w:p>
      <w:r>
        <w:t>Raw/derived (6 features como was_renovated, grade_condition_interaction, etc.) foram testadas e REJEITADAS. Motivo: correlação individual positiva, mas nenhum ganho de MAE isolado, e piora o conjunto quando combinadas com contextual. Modelos de árvore já capturam essas interações nativamente.</w:t>
      </w:r>
    </w:p>
    <w:p>
      <w:r>
        <w:t>Decisão sobre contextual features:</w:t>
      </w:r>
    </w:p>
    <w:p>
      <w:r>
        <w:t>Contextual (3 features: dist_to_seattle_center, comps_knn_price, local_grade_percentile) foram promovidas. Motivo: ganho de -27,0% em MAE via GroupKFold. comps_knn_price (correlação com preço = 0,833) é a mais forte, capturando a força de imóveis comparáveis — um sinal crítico que degrada em regiões novas.</w:t>
      </w:r>
    </w:p>
    <w:p>
      <w:r>
        <w:t>Ranking final de importância (por impacto no modelo):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b/>
                <w:color w:val="FFFFFF"/>
              </w:rPr>
              <w:t>Ranking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b/>
                <w:color w:val="FFFFFF"/>
              </w:rPr>
              <w:t>Impacto no Modelo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b/>
                <w:color w:val="FFFFFF"/>
              </w:rPr>
              <w:t>Categoria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comps_knn_price</w:t>
            </w:r>
          </w:p>
        </w:tc>
        <w:tc>
          <w:tcPr>
            <w:tcW w:type="dxa" w:w="2340"/>
          </w:tcPr>
          <w:p>
            <w:r>
              <w:t>Muito Alto (0,833 r)</w:t>
            </w:r>
          </w:p>
        </w:tc>
        <w:tc>
          <w:tcPr>
            <w:tcW w:type="dxa" w:w="2340"/>
          </w:tcPr>
          <w:p>
            <w:r>
              <w:t>Espacial/Comparáveis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grade</w:t>
            </w:r>
          </w:p>
        </w:tc>
        <w:tc>
          <w:tcPr>
            <w:tcW w:type="dxa" w:w="2340"/>
          </w:tcPr>
          <w:p>
            <w:r>
              <w:t>Muito Alto (0,704 r)</w:t>
            </w:r>
          </w:p>
        </w:tc>
        <w:tc>
          <w:tcPr>
            <w:tcW w:type="dxa" w:w="2340"/>
          </w:tcPr>
          <w:p>
            <w:r>
              <w:t>Física Base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sqft_living</w:t>
            </w:r>
          </w:p>
        </w:tc>
        <w:tc>
          <w:tcPr>
            <w:tcW w:type="dxa" w:w="2340"/>
          </w:tcPr>
          <w:p>
            <w:r>
              <w:t>Muito Alto (0,695 r)</w:t>
            </w:r>
          </w:p>
        </w:tc>
        <w:tc>
          <w:tcPr>
            <w:tcW w:type="dxa" w:w="2340"/>
          </w:tcPr>
          <w:p>
            <w:r>
              <w:t>Física Base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hous_val_amt</w:t>
            </w:r>
          </w:p>
        </w:tc>
        <w:tc>
          <w:tcPr>
            <w:tcW w:type="dxa" w:w="2340"/>
          </w:tcPr>
          <w:p>
            <w:r>
              <w:t>Alto (0,631 r)</w:t>
            </w:r>
          </w:p>
        </w:tc>
        <w:tc>
          <w:tcPr>
            <w:tcW w:type="dxa" w:w="2340"/>
          </w:tcPr>
          <w:p>
            <w:r>
              <w:t>Demográfica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local_grade_percentile</w:t>
            </w:r>
          </w:p>
        </w:tc>
        <w:tc>
          <w:tcPr>
            <w:tcW w:type="dxa" w:w="2340"/>
          </w:tcPr>
          <w:p>
            <w:r>
              <w:t>Alto (-27% MAE isolado)</w:t>
            </w:r>
          </w:p>
        </w:tc>
        <w:tc>
          <w:tcPr>
            <w:tcW w:type="dxa" w:w="2340"/>
          </w:tcPr>
          <w:p>
            <w:r>
              <w:t>Espacial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tex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 — Features contextuais (índice espacial KNN): correlação com price_log em train vs. test, fase 08.</w:t>
      </w:r>
    </w:p>
    <w:p>
      <w:r>
        <w:t>Resumo: as variáveis mais importantes são físicas (grade, sqft_living, bathrooms) seguidas por comparáveis locais (comps_knn_price) e contexto demográfico (hous_val_amt, per_bchlr). Isso faz sentido de mercado: o que o imóvel É (qualidade + tamanho) domina; onde fica (comparáveis + demografia) modula esse valor.</w:t>
      </w:r>
    </w:p>
    <w:p>
      <w:pPr>
        <w:pStyle w:val="Heading1"/>
      </w:pPr>
      <w:r>
        <w:t>3. Escolha do Modelo</w:t>
      </w:r>
    </w:p>
    <w:p>
      <w:pPr>
        <w:pStyle w:val="Heading2"/>
      </w:pPr>
      <w:r>
        <w:t>3.1 Candidatos Avaliados (Fase 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Hiperparâmetros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MAE CV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R²(log)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XGBoost</w:t>
            </w:r>
          </w:p>
        </w:tc>
        <w:tc>
          <w:tcPr>
            <w:tcW w:type="dxa" w:w="1872"/>
          </w:tcPr>
          <w:p>
            <w:r>
              <w:t>n_est=400, depth=3, lr=0.05</w:t>
            </w:r>
          </w:p>
        </w:tc>
        <w:tc>
          <w:tcPr>
            <w:tcW w:type="dxa" w:w="1872"/>
          </w:tcPr>
          <w:p>
            <w:r>
              <w:t>$76.906 ± $6.649</w:t>
            </w:r>
          </w:p>
        </w:tc>
        <w:tc>
          <w:tcPr>
            <w:tcW w:type="dxa" w:w="1872"/>
          </w:tcPr>
          <w:p>
            <w:r>
              <w:t>0,8873</w:t>
            </w:r>
          </w:p>
        </w:tc>
        <w:tc>
          <w:tcPr>
            <w:tcW w:type="dxa" w:w="1872"/>
          </w:tcPr>
          <w:p>
            <w:r>
              <w:t>✓ Vencedor</w:t>
            </w:r>
          </w:p>
        </w:tc>
      </w:tr>
      <w:tr>
        <w:tc>
          <w:tcPr>
            <w:tcW w:type="dxa" w:w="1872"/>
          </w:tcPr>
          <w:p>
            <w:r>
              <w:t>XGBoost</w:t>
            </w:r>
          </w:p>
        </w:tc>
        <w:tc>
          <w:tcPr>
            <w:tcW w:type="dxa" w:w="1872"/>
          </w:tcPr>
          <w:p>
            <w:r>
              <w:t>n_est=200, depth=3, lr=0.1</w:t>
            </w:r>
          </w:p>
        </w:tc>
        <w:tc>
          <w:tcPr>
            <w:tcW w:type="dxa" w:w="1872"/>
          </w:tcPr>
          <w:p>
            <w:r>
              <w:t>$77.253 ± $6.800</w:t>
            </w:r>
          </w:p>
        </w:tc>
        <w:tc>
          <w:tcPr>
            <w:tcW w:type="dxa" w:w="1872"/>
          </w:tcPr>
          <w:p>
            <w:r>
              <w:t>0,8851</w:t>
            </w:r>
          </w:p>
        </w:tc>
        <w:tc>
          <w:tcPr>
            <w:tcW w:type="dxa" w:w="1872"/>
          </w:tcPr>
          <w:p>
            <w:r>
              <w:t>Empate técnico</w:t>
            </w:r>
          </w:p>
        </w:tc>
      </w:tr>
      <w:tr>
        <w:tc>
          <w:tcPr>
            <w:tcW w:type="dxa" w:w="1872"/>
          </w:tcPr>
          <w:p>
            <w:r>
              <w:t>Ridge</w:t>
            </w:r>
          </w:p>
        </w:tc>
        <w:tc>
          <w:tcPr>
            <w:tcW w:type="dxa" w:w="1872"/>
          </w:tcPr>
          <w:p>
            <w:r>
              <w:t>alpha=10.0</w:t>
            </w:r>
          </w:p>
        </w:tc>
        <w:tc>
          <w:tcPr>
            <w:tcW w:type="dxa" w:w="1872"/>
          </w:tcPr>
          <w:p>
            <w:r>
              <w:t>$78.287 ± $7.100</w:t>
            </w:r>
          </w:p>
        </w:tc>
        <w:tc>
          <w:tcPr>
            <w:tcW w:type="dxa" w:w="1872"/>
          </w:tcPr>
          <w:p>
            <w:r>
              <w:t>0,8802</w:t>
            </w:r>
          </w:p>
        </w:tc>
        <w:tc>
          <w:tcPr>
            <w:tcW w:type="dxa" w:w="1872"/>
          </w:tcPr>
          <w:p>
            <w:r>
              <w:t>3º lugar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l_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 — Comparação de candidatos de modelo (Ridge vs. XGBoost) via GroupKFold, fase 10.</w:t>
      </w:r>
    </w:p>
    <w:p>
      <w:r>
        <w:t>Vencedor: XGBoost (n_estimators=400, max_depth=3, learning_rate=0.05)</w:t>
      </w:r>
    </w:p>
    <w:p>
      <w:pPr>
        <w:pStyle w:val="ListBullet"/>
      </w:pPr>
      <w:r>
        <w:t>MAE: US$ 76.905,72 ± US$ 6.648,79 (via GroupKFold)</w:t>
      </w:r>
    </w:p>
    <w:p>
      <w:pPr>
        <w:pStyle w:val="ListBullet"/>
      </w:pPr>
      <w:r>
        <w:t>R² (log scale): 0,8873</w:t>
      </w:r>
    </w:p>
    <w:p>
      <w:r>
        <w:rPr>
          <w:b/>
        </w:rPr>
        <w:t xml:space="preserve">⚠ Nota importante: </w:t>
      </w:r>
      <w:r>
        <w:t>empate técnico com o 2º colocado</w:t>
      </w:r>
    </w:p>
    <w:p>
      <w:r>
        <w:t>O gap entre XGBoost vencedor (76.905,72) e 2º colocado (77.253,46) é apenas US$ 347,73 — bem menor que a soma dos desvios-padrão dos folds (13.152,15). Isso foi explicitamente reportado como technical_tie_check = true. Em prática, tanto XGBoost quanto Ridge poderiam ser defensáveis; a escolha por XGBoost é moderadamente preferida.</w:t>
      </w:r>
    </w:p>
    <w:p>
      <w:pPr>
        <w:pStyle w:val="Heading2"/>
      </w:pPr>
      <w:r>
        <w:t>3.2 Por Que XGBoost?</w:t>
      </w:r>
    </w:p>
    <w:p>
      <w:r>
        <w:t>Vantagens do XGBoost para este problema:</w:t>
      </w:r>
    </w:p>
    <w:p>
      <w:pPr>
        <w:pStyle w:val="ListBullet"/>
      </w:pPr>
      <w:r>
        <w:rPr>
          <w:b/>
        </w:rPr>
        <w:t xml:space="preserve">Captura interações automaticamente: </w:t>
      </w:r>
      <w:r>
        <w:t>O modelo não precisa que interações (como grade_condition_interaction) sejam pré-computadas — árvores encontram esses padrões nos dados.</w:t>
      </w:r>
    </w:p>
    <w:p>
      <w:pPr>
        <w:pStyle w:val="ListBullet"/>
      </w:pPr>
      <w:r>
        <w:rPr>
          <w:b/>
        </w:rPr>
        <w:t xml:space="preserve">Regularização built-in: </w:t>
      </w:r>
      <w:r>
        <w:t>max_depth=3 e learning_rate=0.05 controlam overfitting. Diferente de Ridge puro, que depende de alpha.</w:t>
      </w:r>
    </w:p>
    <w:p>
      <w:pPr>
        <w:pStyle w:val="ListBullet"/>
      </w:pPr>
      <w:r>
        <w:rPr>
          <w:b/>
        </w:rPr>
        <w:t xml:space="preserve">Feature importance nativo: </w:t>
      </w:r>
      <w:r>
        <w:t>permite identificar quais variáveis o modelo realmente usa.</w:t>
      </w:r>
    </w:p>
    <w:p>
      <w:pPr>
        <w:pStyle w:val="ListBullet"/>
      </w:pPr>
      <w:r>
        <w:rPr>
          <w:b/>
        </w:rPr>
        <w:t xml:space="preserve">Robustez a outliers: </w:t>
      </w:r>
      <w:r>
        <w:t>árvores são menos afetadas por valores extremos que regressão linear.</w:t>
      </w:r>
    </w:p>
    <w:p>
      <w:r>
        <w:t>Limitações e mitigações:</w:t>
      </w:r>
    </w:p>
    <w:p>
      <w:pPr>
        <w:pStyle w:val="ListBullet"/>
      </w:pPr>
      <w:r>
        <w:rPr>
          <w:b/>
        </w:rPr>
        <w:t xml:space="preserve">Complexidade: </w:t>
      </w:r>
      <w:r>
        <w:t>XGBoost é mais complexo que Ridge. Mitigação: max_depth=3 mantém árvores rasas, reduzindo risco de overfitting.</w:t>
      </w:r>
    </w:p>
    <w:p>
      <w:pPr>
        <w:pStyle w:val="ListBullet"/>
      </w:pPr>
      <w:r>
        <w:rPr>
          <w:b/>
        </w:rPr>
        <w:t xml:space="preserve">Interpretabilidade: </w:t>
      </w:r>
      <w:r>
        <w:t>Ridge é mais interpretável. Mitigação: SHAP foi adotado para explicabilidade local (fase 15).</w:t>
      </w:r>
    </w:p>
    <w:p>
      <w:pPr>
        <w:pStyle w:val="Heading2"/>
      </w:pPr>
      <w:r>
        <w:t>3.3 O Padrão Repetido: Features &gt; Algoritmo</w:t>
      </w:r>
    </w:p>
    <w:p>
      <w:r>
        <w:rPr>
          <w:b/>
        </w:rPr>
        <w:t xml:space="preserve">Observação: </w:t>
      </w:r>
      <w:r>
        <w:t>Ridge (alpha=10.0) ficou logo atrás de XGBoost com MAE de US$ 78.286,83 — apenas US$ 1.381 acima. Isso reforça a hipótese original: melhoria em features (contextual +27%) &gt; melhoria em algoritmo (+2%).</w:t>
      </w:r>
    </w:p>
    <w:p>
      <w:pPr>
        <w:pStyle w:val="Heading1"/>
      </w:pPr>
      <w:r>
        <w:t>4. Estratégia de Generalização</w:t>
      </w:r>
    </w:p>
    <w:p>
      <w:pPr>
        <w:pStyle w:val="Heading2"/>
      </w:pPr>
      <w:r>
        <w:t>4.1 Split Geográfico (Não Aleatório)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Partição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Tamanho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Zipcodes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872"/>
          </w:tcPr>
          <w:p>
            <w:r>
              <w:t>TRAIN</w:t>
            </w:r>
          </w:p>
        </w:tc>
        <w:tc>
          <w:tcPr>
            <w:tcW w:type="dxa" w:w="1872"/>
          </w:tcPr>
          <w:p>
            <w:r>
              <w:t>Treino do modelo</w:t>
            </w:r>
          </w:p>
        </w:tc>
        <w:tc>
          <w:tcPr>
            <w:tcW w:type="dxa" w:w="1872"/>
          </w:tcPr>
          <w:p>
            <w:r>
              <w:t>15.100 (69,87%)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Feature selection via GroupKFold</w:t>
            </w:r>
          </w:p>
        </w:tc>
      </w:tr>
      <w:tr>
        <w:tc>
          <w:tcPr>
            <w:tcW w:type="dxa" w:w="1872"/>
          </w:tcPr>
          <w:p>
            <w:r>
              <w:t>TEST</w:t>
            </w:r>
          </w:p>
        </w:tc>
        <w:tc>
          <w:tcPr>
            <w:tcW w:type="dxa" w:w="1872"/>
          </w:tcPr>
          <w:p>
            <w:r>
              <w:t>Análise de erro durante dev</w:t>
            </w:r>
          </w:p>
        </w:tc>
        <w:tc>
          <w:tcPr>
            <w:tcW w:type="dxa" w:w="1872"/>
          </w:tcPr>
          <w:p>
            <w:r>
              <w:t>2.644 (12,23%)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Nunca usado para decisão, só observação</w:t>
            </w:r>
          </w:p>
        </w:tc>
      </w:tr>
      <w:tr>
        <w:tc>
          <w:tcPr>
            <w:tcW w:type="dxa" w:w="1872"/>
          </w:tcPr>
          <w:p>
            <w:r>
              <w:t>VAL</w:t>
            </w:r>
          </w:p>
        </w:tc>
        <w:tc>
          <w:tcPr>
            <w:tcW w:type="dxa" w:w="1872"/>
          </w:tcPr>
          <w:p>
            <w:r>
              <w:t>Checagem final única</w:t>
            </w:r>
          </w:p>
        </w:tc>
        <w:tc>
          <w:tcPr>
            <w:tcW w:type="dxa" w:w="1872"/>
          </w:tcPr>
          <w:p>
            <w:r>
              <w:t>3.868 (17,90%)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Tocado APENAS uma vez (fase 13)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li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 — Distribuição de linhas e zipcodes entre train/test/val (split geográfico), fase 03.</w:t>
      </w:r>
    </w:p>
    <w:p>
      <w:r>
        <w:t>Método: GroupShuffleSplit duplo por zipcode (random_state=42). Resultado: zero overlap de grupo entre partições; nenhuma revenda cruza split.</w:t>
      </w:r>
    </w:p>
    <w:p>
      <w:pPr>
        <w:pStyle w:val="Heading2"/>
      </w:pPr>
      <w:r>
        <w:t>4.2 Validação via GroupKFold (Não K-Fold Aleatório)</w:t>
      </w:r>
    </w:p>
    <w:p>
      <w:r>
        <w:t>Durante feature selection (fases 07-09) e model selection (fase 10), usou-se GroupKFold(3) agrupado por zipcode em vez de K-Fold aleatório. Isto significa:</w:t>
      </w:r>
    </w:p>
    <w:p>
      <w:pPr>
        <w:pStyle w:val="ListBullet"/>
      </w:pPr>
      <w:r>
        <w:t>Cada fold: alguns zipcodes inteiros são reservados para teste, outros para treino.</w:t>
      </w:r>
    </w:p>
    <w:p>
      <w:pPr>
        <w:pStyle w:val="ListBullet"/>
      </w:pPr>
      <w:r>
        <w:t>Simula o cenário de negócio real: expandir para regiões novas sem dados históricos.</w:t>
      </w:r>
    </w:p>
    <w:p>
      <w:pPr>
        <w:pStyle w:val="ListBullet"/>
      </w:pPr>
      <w:r>
        <w:t>MAE reportado é a média dos 3 folds + desvio-padrão, indicando variação entre regiões.</w:t>
      </w:r>
    </w:p>
    <w:p>
      <w:r>
        <w:t>Exemplo: MAE em GroupKFold = 76.905 ± 6.649 significa que em alguns zipcodes o modelo erra US$ 70k em média, em outros US$ 83k. Isso é informação de risco — não é reportado como simplesmente "76.905".</w:t>
      </w:r>
    </w:p>
    <w:p>
      <w:pPr>
        <w:pStyle w:val="Heading2"/>
      </w:pPr>
      <w:r>
        <w:t>4.3 Validação Final: Uma Única Checagem em VAL (Fase 13)</w:t>
      </w:r>
    </w:p>
    <w:p>
      <w:r>
        <w:t>Após travar features, modelo e hipóteses (fases 02-12), o modelo foi refeito sobre train+test combinados (17.744 linhas) e checado uma única vez em val (3.868 imóveis em 11 zipcodes nunca vistos).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Resultado (VAL)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Interpretação</w:t>
            </w:r>
          </w:p>
        </w:tc>
      </w:tr>
      <w:tr>
        <w:tc>
          <w:tcPr>
            <w:tcW w:type="dxa" w:w="3120"/>
          </w:tcPr>
          <w:p>
            <w:r>
              <w:t>MAE</w:t>
            </w:r>
          </w:p>
        </w:tc>
        <w:tc>
          <w:tcPr>
            <w:tcW w:type="dxa" w:w="3120"/>
          </w:tcPr>
          <w:p>
            <w:r>
              <w:t>US$ 72.517</w:t>
            </w:r>
          </w:p>
        </w:tc>
        <w:tc>
          <w:tcPr>
            <w:tcW w:type="dxa" w:w="3120"/>
          </w:tcPr>
          <w:p>
            <w:r>
              <w:t>Erro médio absoluto</w:t>
            </w:r>
          </w:p>
        </w:tc>
      </w:tr>
      <w:tr>
        <w:tc>
          <w:tcPr>
            <w:tcW w:type="dxa" w:w="3120"/>
          </w:tcPr>
          <w:p>
            <w:r>
              <w:t>RMSE</w:t>
            </w:r>
          </w:p>
        </w:tc>
        <w:tc>
          <w:tcPr>
            <w:tcW w:type="dxa" w:w="3120"/>
          </w:tcPr>
          <w:p>
            <w:r>
              <w:t>US$ 112.596</w:t>
            </w:r>
          </w:p>
        </w:tc>
        <w:tc>
          <w:tcPr>
            <w:tcW w:type="dxa" w:w="3120"/>
          </w:tcPr>
          <w:p>
            <w:r>
              <w:t>Raiz do erro quadrático médio</w:t>
            </w:r>
          </w:p>
        </w:tc>
      </w:tr>
      <w:tr>
        <w:tc>
          <w:tcPr>
            <w:tcW w:type="dxa" w:w="3120"/>
          </w:tcPr>
          <w:p>
            <w:r>
              <w:t>MAPE</w:t>
            </w:r>
          </w:p>
        </w:tc>
        <w:tc>
          <w:tcPr>
            <w:tcW w:type="dxa" w:w="3120"/>
          </w:tcPr>
          <w:p>
            <w:r>
              <w:t>14,1%</w:t>
            </w:r>
          </w:p>
        </w:tc>
        <w:tc>
          <w:tcPr>
            <w:tcW w:type="dxa" w:w="3120"/>
          </w:tcPr>
          <w:p>
            <w:r>
              <w:t>Desvio percentual médio</w:t>
            </w:r>
          </w:p>
        </w:tc>
      </w:tr>
      <w:tr>
        <w:tc>
          <w:tcPr>
            <w:tcW w:type="dxa" w:w="3120"/>
          </w:tcPr>
          <w:p>
            <w:r>
              <w:t>Median APE</w:t>
            </w:r>
          </w:p>
        </w:tc>
        <w:tc>
          <w:tcPr>
            <w:tcW w:type="dxa" w:w="3120"/>
          </w:tcPr>
          <w:p>
            <w:r>
              <w:t>11,2%</w:t>
            </w:r>
          </w:p>
        </w:tc>
        <w:tc>
          <w:tcPr>
            <w:tcW w:type="dxa" w:w="3120"/>
          </w:tcPr>
          <w:p>
            <w:r>
              <w:t>Mediana do erro percentual</w:t>
            </w:r>
          </w:p>
        </w:tc>
      </w:tr>
      <w:tr>
        <w:tc>
          <w:tcPr>
            <w:tcW w:type="dxa" w:w="3120"/>
          </w:tcPr>
          <w:p>
            <w:r>
              <w:t>Bias</w:t>
            </w:r>
          </w:p>
        </w:tc>
        <w:tc>
          <w:tcPr>
            <w:tcW w:type="dxa" w:w="3120"/>
          </w:tcPr>
          <w:p>
            <w:r>
              <w:t>+US$ 19.536</w:t>
            </w:r>
          </w:p>
        </w:tc>
        <w:tc>
          <w:tcPr>
            <w:tcW w:type="dxa" w:w="3120"/>
          </w:tcPr>
          <w:p>
            <w:r>
              <w:t>Modelo subestima levemente em média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val_actual_vs_predi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 — Valor previsto vs. valor real em val, checagem única, fase 13.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val_final_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 — Resumo da checagem final em val.</w:t>
      </w:r>
    </w:p>
    <w:p>
      <w:r>
        <w:t>✓ Generalização confirmada: MAE em val (US$ 72.517) é melhor que em test (US$ 104.221), indicando que o modelo não overfita em test e consegue generalizar para zipcodes novos. A composição de zipcodes de val não inclui um equivalente ao zipcode 98006 (o mais difícil em test), o que explica o erro menor.</w:t>
      </w:r>
    </w:p>
    <w:p>
      <w:pPr>
        <w:pStyle w:val="Heading2"/>
      </w:pPr>
      <w:r>
        <w:t>4.4 Análise de Desempenho por Segmento</w:t>
      </w:r>
    </w:p>
    <w:p>
      <w:r>
        <w:t>A análise final revelou variação importante por faixa de preço (banda de mercado):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Segmento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Faixa Aprox.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MAE (VAL)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</w:rPr>
              <w:t>Recomendação</w:t>
            </w:r>
          </w:p>
        </w:tc>
      </w:tr>
      <w:tr>
        <w:tc>
          <w:tcPr>
            <w:tcW w:type="dxa" w:w="1872"/>
          </w:tcPr>
          <w:p>
            <w:r>
              <w:t>Entry</w:t>
            </w:r>
          </w:p>
        </w:tc>
        <w:tc>
          <w:tcPr>
            <w:tcW w:type="dxa" w:w="1872"/>
          </w:tcPr>
          <w:p>
            <w:r>
              <w:t>até ~US$ 320k</w:t>
            </w:r>
          </w:p>
        </w:tc>
        <w:tc>
          <w:tcPr>
            <w:tcW w:type="dxa" w:w="1872"/>
          </w:tcPr>
          <w:p>
            <w:r>
              <w:t>713</w:t>
            </w:r>
          </w:p>
        </w:tc>
        <w:tc>
          <w:tcPr>
            <w:tcW w:type="dxa" w:w="1872"/>
          </w:tcPr>
          <w:p>
            <w:r>
              <w:t>US$ 45.808</w:t>
            </w:r>
          </w:p>
        </w:tc>
        <w:tc>
          <w:tcPr>
            <w:tcW w:type="dxa" w:w="1872"/>
          </w:tcPr>
          <w:p>
            <w:r>
              <w:t>✓ Automatizar</w:t>
            </w:r>
          </w:p>
        </w:tc>
      </w:tr>
      <w:tr>
        <w:tc>
          <w:tcPr>
            <w:tcW w:type="dxa" w:w="1872"/>
          </w:tcPr>
          <w:p>
            <w:r>
              <w:t>Standard</w:t>
            </w:r>
          </w:p>
        </w:tc>
        <w:tc>
          <w:tcPr>
            <w:tcW w:type="dxa" w:w="1872"/>
          </w:tcPr>
          <w:p>
            <w:r>
              <w:t>~US$ 320-460k</w:t>
            </w:r>
          </w:p>
        </w:tc>
        <w:tc>
          <w:tcPr>
            <w:tcW w:type="dxa" w:w="1872"/>
          </w:tcPr>
          <w:p>
            <w:r>
              <w:t>1.311</w:t>
            </w:r>
          </w:p>
        </w:tc>
        <w:tc>
          <w:tcPr>
            <w:tcW w:type="dxa" w:w="1872"/>
          </w:tcPr>
          <w:p>
            <w:r>
              <w:t>US$ 47.582</w:t>
            </w:r>
          </w:p>
        </w:tc>
        <w:tc>
          <w:tcPr>
            <w:tcW w:type="dxa" w:w="1872"/>
          </w:tcPr>
          <w:p>
            <w:r>
              <w:t>✓ Automatizar</w:t>
            </w:r>
          </w:p>
        </w:tc>
      </w:tr>
      <w:tr>
        <w:tc>
          <w:tcPr>
            <w:tcW w:type="dxa" w:w="1872"/>
          </w:tcPr>
          <w:p>
            <w:r>
              <w:t>Premium</w:t>
            </w:r>
          </w:p>
        </w:tc>
        <w:tc>
          <w:tcPr>
            <w:tcW w:type="dxa" w:w="1872"/>
          </w:tcPr>
          <w:p>
            <w:r>
              <w:t>~US$ 460-669k</w:t>
            </w:r>
          </w:p>
        </w:tc>
        <w:tc>
          <w:tcPr>
            <w:tcW w:type="dxa" w:w="1872"/>
          </w:tcPr>
          <w:p>
            <w:r>
              <w:t>1.184</w:t>
            </w:r>
          </w:p>
        </w:tc>
        <w:tc>
          <w:tcPr>
            <w:tcW w:type="dxa" w:w="1872"/>
          </w:tcPr>
          <w:p>
            <w:r>
              <w:t>US$ 64.488</w:t>
            </w:r>
          </w:p>
        </w:tc>
        <w:tc>
          <w:tcPr>
            <w:tcW w:type="dxa" w:w="1872"/>
          </w:tcPr>
          <w:p>
            <w:r>
              <w:t>⚠ Revisar</w:t>
            </w:r>
          </w:p>
        </w:tc>
      </w:tr>
      <w:tr>
        <w:tc>
          <w:tcPr>
            <w:tcW w:type="dxa" w:w="1872"/>
          </w:tcPr>
          <w:p>
            <w:r>
              <w:t>Luxury</w:t>
            </w:r>
          </w:p>
        </w:tc>
        <w:tc>
          <w:tcPr>
            <w:tcW w:type="dxa" w:w="1872"/>
          </w:tcPr>
          <w:p>
            <w:r>
              <w:t>acima de ~US$ 669k</w:t>
            </w:r>
          </w:p>
        </w:tc>
        <w:tc>
          <w:tcPr>
            <w:tcW w:type="dxa" w:w="1872"/>
          </w:tcPr>
          <w:p>
            <w:r>
              <w:t>660</w:t>
            </w:r>
          </w:p>
        </w:tc>
        <w:tc>
          <w:tcPr>
            <w:tcW w:type="dxa" w:w="1872"/>
          </w:tcPr>
          <w:p>
            <w:r>
              <w:t>US$ 165.303</w:t>
            </w:r>
          </w:p>
        </w:tc>
        <w:tc>
          <w:tcPr>
            <w:tcW w:type="dxa" w:w="1872"/>
          </w:tcPr>
          <w:p>
            <w:r>
              <w:t>✋ Humano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624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rror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 — Error Matrix: MAE por banda de preço e por zipcode, fase 11.</w:t>
      </w:r>
    </w:p>
    <w:p>
      <w:r>
        <w:rPr>
          <w:b/>
        </w:rPr>
        <w:t xml:space="preserve">⚠ Achado crítico: </w:t>
      </w:r>
      <w:r>
        <w:t>Luxury tem erro 3,6x maior que Entry. Isto não é falha do modelo — é característica real do mercado imobiliário. Imóveis de luxo são mais singulares, menos comparáveis, mais sensíveis a características específicas. Por isso, a recomendação é usar diferentes níveis de autonomia por segmento (automação em Entry/Standard; revisão humana em Luxury).</w:t>
      </w:r>
    </w:p>
    <w:p>
      <w:pPr>
        <w:pStyle w:val="Heading2"/>
      </w:pPr>
      <w:r>
        <w:t>4.5 Intervalo de Confiança Empírico</w:t>
      </w:r>
    </w:p>
    <w:p>
      <w:r>
        <w:t>Um intervalo de confiança simples (conformal) foi calibrado:</w:t>
      </w:r>
    </w:p>
    <w:p>
      <w:pPr>
        <w:pStyle w:val="ListBullet"/>
      </w:pPr>
      <w:r>
        <w:rPr>
          <w:b/>
        </w:rPr>
        <w:t xml:space="preserve">Passo 1: </w:t>
      </w:r>
      <w:r>
        <w:t>modelo treinado só em train → aplicado em test → calcular quantis de resíduo por faixa de preço.</w:t>
      </w:r>
    </w:p>
    <w:p>
      <w:pPr>
        <w:pStyle w:val="ListBullet"/>
      </w:pPr>
      <w:r>
        <w:rPr>
          <w:b/>
        </w:rPr>
        <w:t xml:space="preserve">Passo 2: </w:t>
      </w:r>
      <w:r>
        <w:t>esses quantis → banda de erro em torno de cada previsão → aplicar em val (dado nunca visto) → medir cobertura real.</w:t>
      </w:r>
    </w:p>
    <w:p>
      <w:r>
        <w:t>Resultado:</w:t>
      </w:r>
    </w:p>
    <w:p>
      <w:pPr>
        <w:pStyle w:val="ListBullet"/>
      </w:pPr>
      <w:r>
        <w:rPr>
          <w:b/>
        </w:rPr>
        <w:t xml:space="preserve">Intervalo 80% nominal: </w:t>
      </w:r>
      <w:r>
        <w:t>cobertura observada 84,95% em val (acima do alvo)</w:t>
      </w:r>
    </w:p>
    <w:p>
      <w:pPr>
        <w:pStyle w:val="ListBullet"/>
      </w:pPr>
      <w:r>
        <w:rPr>
          <w:b/>
        </w:rPr>
        <w:t xml:space="preserve">Intervalo 90% nominal: </w:t>
      </w:r>
      <w:r>
        <w:t>cobertura observada 94,03% em val (acima do alvo)</w:t>
      </w:r>
    </w:p>
    <w:p>
      <w:r>
        <w:t>✓ As bandas são levemente conservadoras — melhor do que otimistas.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538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nfidence_matrix_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 — Matriz de confiança: cobertura observada da banda empírica em 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83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sotonic_calibration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 — Curva de calibração isotônica do intervalo de confiança.</w:t>
      </w:r>
    </w:p>
    <w:p>
      <w:pPr>
        <w:pStyle w:val="Heading1"/>
      </w:pPr>
      <w:r>
        <w:t>5. Disciplina Metodológica (Evitar Vazamentos)</w:t>
      </w:r>
    </w:p>
    <w:p>
      <w:r>
        <w:t>Nenhuma decisão de feature selection, model selection, ou hyperparameter tuning usou o conjunto val. Isto pode ser verificado no histórico de código:</w:t>
      </w:r>
    </w:p>
    <w:p>
      <w:pPr>
        <w:pStyle w:val="ListBullet"/>
      </w:pPr>
      <w:r>
        <w:rPr>
          <w:b/>
        </w:rPr>
        <w:t xml:space="preserve">Fases 07-09 (feature engineering): </w:t>
      </w:r>
      <w:r>
        <w:t>todas rodam sobre train via GroupKFold — val nunca é tocado.</w:t>
      </w:r>
    </w:p>
    <w:p>
      <w:pPr>
        <w:pStyle w:val="ListBullet"/>
      </w:pPr>
      <w:r>
        <w:rPr>
          <w:b/>
        </w:rPr>
        <w:t xml:space="preserve">Fase 10 (model selection): </w:t>
      </w:r>
      <w:r>
        <w:t>GridSearch com GroupKFold em train — val nunca é tocado.</w:t>
      </w:r>
    </w:p>
    <w:p>
      <w:pPr>
        <w:pStyle w:val="ListBullet"/>
      </w:pPr>
      <w:r>
        <w:rPr>
          <w:b/>
        </w:rPr>
        <w:t xml:space="preserve">Fase 11 (error matrix): </w:t>
      </w:r>
      <w:r>
        <w:t>análise sobre test para entender padrões de erro — val nunca é tocado.</w:t>
      </w:r>
    </w:p>
    <w:p>
      <w:pPr>
        <w:pStyle w:val="ListBullet"/>
      </w:pPr>
      <w:r>
        <w:rPr>
          <w:b/>
        </w:rPr>
        <w:t xml:space="preserve">Fase 12 (hipótese de melhoria): </w:t>
      </w:r>
      <w:r>
        <w:t>teste de k no índice espacial; val nunca é tocado.</w:t>
      </w:r>
    </w:p>
    <w:p>
      <w:pPr>
        <w:pStyle w:val="ListBullet"/>
      </w:pPr>
      <w:r>
        <w:rPr>
          <w:b/>
        </w:rPr>
        <w:t xml:space="preserve">Fase 13 (checagem final): </w:t>
      </w:r>
      <w:r>
        <w:t>val é tocado EXATAMENTE UMA VEZ — apenas para medir candidato já travado.</w:t>
      </w:r>
    </w:p>
    <w:p>
      <w:r>
        <w:t>Isto garante que val é uma verdadeira medida de desempenho em dado futuro, não um resultado de ajustes feitos olhando para val.</w:t>
      </w:r>
    </w:p>
    <w:p>
      <w:pPr>
        <w:pStyle w:val="Heading1"/>
      </w:pPr>
      <w:r>
        <w:t>6. Um Teste que Não Passou: Dados Sintéticos (Fase 05)</w:t>
      </w:r>
    </w:p>
    <w:p>
      <w:r>
        <w:t>Durante desenvolvimento, foi testada augmentation de dados (SMOGN + perturbação controlada) para compensar regiões com baixa densidade. Os resultados pareciam promissores no treino:</w:t>
      </w:r>
    </w:p>
    <w:p>
      <w:pPr>
        <w:pStyle w:val="ListBullet"/>
      </w:pPr>
      <w:r>
        <w:rPr>
          <w:b/>
        </w:rPr>
        <w:t xml:space="preserve">Métrica de treino (GroupKFold): </w:t>
      </w:r>
      <w:r>
        <w:t>-11,4% de melhora em MAE (95.276 vs 107.515)</w:t>
      </w:r>
    </w:p>
    <w:p>
      <w:r>
        <w:t>Porém, quando a fase 11 (error matrix) recomputou o modelo sem augmentation, o erro em test voltou aos níveis normais — a "melhora" do treino não se sustentava em dados reais não vistos.</w:t>
      </w:r>
    </w:p>
    <w:p>
      <w:r>
        <w:t>✓ Decisão (fase 12): reverter augmentation. O modelo final NÃO usa dados sintéticos.</w:t>
      </w:r>
    </w:p>
    <w:p>
      <w:r>
        <w:t>Lição: métrica melhor no desenvolvimento ≠ melhoria real. Apenas dados reais não vistos (test, val) contam.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gmentation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 — Comparação de técnicas de augmentation via MAE em GroupKFold, fase 05.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vert_augmentation_iter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 — MAE em test com e sem augmentation — evidência que motivou a reversão, fase 12 (iteração 2).</w:t>
      </w:r>
    </w:p>
    <w:p>
      <w:pPr>
        <w:pStyle w:val="Heading2"/>
      </w:pPr>
      <w:r>
        <w:t>Conclusão</w:t>
      </w:r>
    </w:p>
    <w:p>
      <w:r>
        <w:t>O modelo final (XGBoost com 20 features contextualizadas) foi desenvolvido seguindo princípios rigorosos de generalização geográfica:</w:t>
      </w:r>
    </w:p>
    <w:p>
      <w:pPr>
        <w:pStyle w:val="ListBullet"/>
      </w:pPr>
      <w:r>
        <w:t>Features foram selecionadas por ablation em GroupKFold(zipcode), não por importância isolada.</w:t>
      </w:r>
    </w:p>
    <w:p>
      <w:pPr>
        <w:pStyle w:val="ListBullet"/>
      </w:pPr>
      <w:r>
        <w:t>Modelo foi escolhido com empate técnico reportado — não escondendo incerteza.</w:t>
      </w:r>
    </w:p>
    <w:p>
      <w:pPr>
        <w:pStyle w:val="ListBullet"/>
      </w:pPr>
      <w:r>
        <w:t>Generalização foi validada em três camadas: GroupKFold durante treino, test durante desenvolvimento, val uma única vez pós-congelamento.</w:t>
      </w:r>
    </w:p>
    <w:p>
      <w:pPr>
        <w:pStyle w:val="ListBullet"/>
      </w:pPr>
      <w:r>
        <w:t>Análise por segmento revelou que performance varia por mercado (Luxury ≠ Entry), não por falha do modelo.</w:t>
      </w:r>
    </w:p>
    <w:p>
      <w:pPr>
        <w:pStyle w:val="ListBullet"/>
      </w:pPr>
      <w:r>
        <w:t>Decisões que não generalizaram (dados sintéticos) foram revertidas — disciplina metodológica aplicada.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