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Estratégia de Deploy</w:t>
      </w:r>
    </w:p>
    <w:p>
      <w:r>
        <w:rPr>
          <w:i/>
          <w:color w:val="595959"/>
          <w:sz w:val="26"/>
        </w:rPr>
        <w:t>Precificação de Imóveis — King County, Washington · Entregável 3 (D3)</w:t>
      </w:r>
    </w:p>
    <w:p>
      <w:pPr>
        <w:pStyle w:val="Heading1"/>
      </w:pPr>
      <w:r>
        <w:t>1. Objetivo</w:t>
      </w:r>
    </w:p>
    <w:p>
      <w:r>
        <w:t>Colocar artifacts/model_final.pkl (fase 13 — refit sobre train+test, MAE em val de US$ 72.517) atrás de uma API de inferência com paridade treino/produção garantida por construção — reuso direto do código de src/pipelines/inference.py, não uma reimplementação em outra camada — e monitorada por segmento, não apenas por uma métrica agregada.</w:t>
      </w:r>
    </w:p>
    <w:p>
      <w:r>
        <w:t>Essa escolha de design é motivada diretamente por um achado do próprio projeto: a decisão de data augmentation da fase 05 parecia positiva pela métrica agregada de treino (CV -11,4%) e só a quebra por segmento, na fase 11, revelou que ela piorava a generalização real em test. Monitorar só o número agregado em produção repetiria o mesmo risco.</w:t>
      </w:r>
    </w:p>
    <w:p>
      <w:r>
        <w:t>Este documento descreve a estratégia — o deploy em si não precisa (nem foi) implementado neste entregável. A promoção de um modelo para produção segue sempre o princípio de governança P6: o pipeline recomenda, um humano aprova; nunca há substituição automática.</w:t>
      </w:r>
    </w:p>
    <w:p>
      <w:pPr>
        <w:pStyle w:val="Heading1"/>
      </w:pPr>
      <w:r>
        <w:t>2. Diagrama de Camadas</w:t>
      </w:r>
    </w:p>
    <w:p>
      <w:r>
        <w:t>O fluxo de inferência atravessa cinco camadas: Cliente, API, Model Registry, Infraestrutura e Monitoramento — com o Monitoramento realimentando o ciclo de Aprendizado Contínuo (documento seguinte).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44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4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 — Arquitetura de deploy em camadas: Cliente → API → Model Registry / Infraestrutura → Monitoramento, com realimentação para o Aprendizado Contínuo.</w:t>
      </w:r>
    </w:p>
    <w:p>
      <w:pPr>
        <w:pStyle w:val="Heading1"/>
      </w:pPr>
      <w:r>
        <w:t>3. Camada API</w:t>
      </w:r>
    </w:p>
    <w:p>
      <w:r>
        <w:t>Endpoint de inferência: reusa src/pipelines/inference.py::predict_price — a MESMA função usada na demo de inferência da fase 14, não uma reimplementação em outra linguagem ou serviço. Isso garante paridade treino/produção por construção (P5), em vez de depender da promessa de manter duas implementações sincronizadas manualmente.</w:t>
      </w:r>
    </w:p>
    <w:p>
      <w:pPr>
        <w:pStyle w:val="ListBullet"/>
      </w:pPr>
      <w:r>
        <w:rPr>
          <w:b/>
        </w:rPr>
        <w:t xml:space="preserve">Contrato de entrada: </w:t>
      </w:r>
      <w:r>
        <w:t>os mesmos campos de future_unseen_examples.csv, sem id/date/price — o serviço não exige histórico de venda do imóvel, só atributos físicos + zipcode.</w:t>
      </w:r>
    </w:p>
    <w:p>
      <w:pPr>
        <w:pStyle w:val="ListBullet"/>
      </w:pPr>
      <w:r>
        <w:rPr>
          <w:b/>
        </w:rPr>
        <w:t xml:space="preserve">property_age: </w:t>
      </w:r>
      <w:r>
        <w:t>calculada a partir da data da própria requisição (as_of_date), não de uma venda passada — decisão de design já validada na fase 14.</w:t>
      </w:r>
    </w:p>
    <w:p>
      <w:pPr>
        <w:pStyle w:val="ListBullet"/>
      </w:pPr>
      <w:r>
        <w:rPr>
          <w:b/>
        </w:rPr>
        <w:t xml:space="preserve">Saída da API: </w:t>
      </w:r>
      <w:r>
        <w:t>além do preço previsto, a API retorna a banda de preço (price_band) e o cluster físico (property_cluster) previstos — não só o número — porque o monitoramento por segmento (seção 5) depende de saber a qual segmento cada predição pertence, sem reprocessar.</w:t>
      </w:r>
    </w:p>
    <w:p>
      <w:pPr>
        <w:pStyle w:val="Heading1"/>
      </w:pPr>
      <w:r>
        <w:t>4. Model Registry</w:t>
      </w:r>
    </w:p>
    <w:p>
      <w:r>
        <w:t>production_contract.yaml (gerado por scripts/write_production_contract.py, fase 14) é o pacote atômico versionado: schema das 20 features oficiais (data/trusted/feature_metadata.json), versão do modelo, versão do dataset de treino, versão do split, versão do pré-processamento (índice espacial k=30, fit só em train), e limitações conhecidas explícitas (erro por segmento, lição da reversão de augmentation). Nunca versões soltas — reescalar features sem atualizar o encoding/índice correspondente quebra o contrato por definição.</w:t>
      </w:r>
    </w:p>
    <w:p>
      <w:r>
        <w:rPr>
          <w:b/>
        </w:rPr>
        <w:t xml:space="preserve">Fluxo de promoção (P6): </w:t>
      </w:r>
      <w:r>
        <w:t>candidate → avaliação (fase 11/13) → promotion contract (fase 14) → aprovação humana → produção. status: RECOMMENDED_FOR_PROMOTION é uma recomendação do pipeline (make evaluate + make finalize), nunca uma substituição executada automaticamente.</w:t>
      </w:r>
    </w:p>
    <w:p>
      <w:pPr>
        <w:pStyle w:val="Heading1"/>
      </w:pPr>
      <w:r>
        <w:t>5. Monitoramento</w:t>
      </w:r>
    </w:p>
    <w:p>
      <w:r>
        <w:t>Não só MAE global. O serviço loga banda de preço e cluster físico previstos junto de cada predição (seção 3); o monitor recalcula periodicamente um Error Matrix (mesma lógica de src/evaluation/error_matrix.py, fase 11) sobre o lote de predições recentes — quando o resultado real da venda estiver disponível (ver documento de Aprendizado Contínuo), a métrica por segmento é comparada contra o baseline do production_contract.yaml.</w:t>
      </w:r>
    </w:p>
    <w:p>
      <w:r>
        <w:t>SLA diferenciado por segmento, não um único SLA global — motivado diretamente pelo achado do projeto de que o erro em Luxury/waterfront/grade≥10 é 2-4x o do mercado de massa (fase 11/13). Um SLA único (ex.: "MAE &lt; US$ 80k") seria trivialmente violado em Luxury e mascarado pela maioria de predições de mercado de massa numa métrica agregada.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Segmento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MAE alvo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</w:rPr>
              <w:t>Ação se violado</w:t>
            </w:r>
          </w:p>
        </w:tc>
      </w:tr>
      <w:tr>
        <w:tc>
          <w:tcPr>
            <w:tcW w:type="dxa" w:w="3120"/>
          </w:tcPr>
          <w:p>
            <w:r>
              <w:t>Entry / Standard</w:t>
            </w:r>
          </w:p>
        </w:tc>
        <w:tc>
          <w:tcPr>
            <w:tcW w:type="dxa" w:w="3120"/>
          </w:tcPr>
          <w:p>
            <w:r>
              <w:t>&lt; US$ 60k</w:t>
            </w:r>
          </w:p>
        </w:tc>
        <w:tc>
          <w:tcPr>
            <w:tcW w:type="dxa" w:w="3120"/>
          </w:tcPr>
          <w:p>
            <w:r>
              <w:t>Alerta de degradação padrão</w:t>
            </w:r>
          </w:p>
        </w:tc>
      </w:tr>
      <w:tr>
        <w:tc>
          <w:tcPr>
            <w:tcW w:type="dxa" w:w="3120"/>
          </w:tcPr>
          <w:p>
            <w:r>
              <w:t>Premium</w:t>
            </w:r>
          </w:p>
        </w:tc>
        <w:tc>
          <w:tcPr>
            <w:tcW w:type="dxa" w:w="3120"/>
          </w:tcPr>
          <w:p>
            <w:r>
              <w:t>&lt; US$ 90k</w:t>
            </w:r>
          </w:p>
        </w:tc>
        <w:tc>
          <w:tcPr>
            <w:tcW w:type="dxa" w:w="3120"/>
          </w:tcPr>
          <w:p>
            <w:r>
              <w:t>Alerta de degradação padrão</w:t>
            </w:r>
          </w:p>
        </w:tc>
      </w:tr>
      <w:tr>
        <w:tc>
          <w:tcPr>
            <w:tcW w:type="dxa" w:w="3120"/>
          </w:tcPr>
          <w:p>
            <w:r>
              <w:t>Luxury / waterfront / grade≥10</w:t>
            </w:r>
          </w:p>
        </w:tc>
        <w:tc>
          <w:tcPr>
            <w:tcW w:type="dxa" w:w="3120"/>
          </w:tcPr>
          <w:p>
            <w:r>
              <w:t>&lt; US$ 220k (~baseline atual)</w:t>
            </w:r>
          </w:p>
        </w:tc>
        <w:tc>
          <w:tcPr>
            <w:tcW w:type="dxa" w:w="3120"/>
          </w:tcPr>
          <w:p>
            <w:r>
              <w:t>Revisão manual antes de qualquer decisão de negócio automatizada</w:t>
            </w:r>
          </w:p>
        </w:tc>
      </w:tr>
    </w:tbl>
    <w:p/>
    <w:p>
      <w:r>
        <w:rPr>
          <w:b/>
        </w:rPr>
        <w:t xml:space="preserve">Monitor de drift: </w:t>
      </w:r>
      <w:r>
        <w:t>Compara a distribuição das features de entrada em produção contra a distribuição de train (mesma lógica de src/evaluation/geographic_coverage.py::feature_space_coverage, fase 04) — um lote de predições sistematicamente "fora da cobertura" de train é sinal de que o modelo está extrapolando, não interpolando, e deve disparar alerta antes que o erro real apareça.</w:t>
      </w:r>
    </w:p>
    <w:p>
      <w:pPr>
        <w:pStyle w:val="Heading1"/>
      </w:pPr>
      <w:r>
        <w:t>6. Infraestrutura</w:t>
      </w:r>
    </w:p>
    <w:p>
      <w:r>
        <w:t>Serviço stateless — o índice espacial (spatial_index.pkl) e o modelo são carregados uma única vez em memória no boot do container, não a cada requisição — o que permite auto-scaling horizontal padrão sem estado compartilhado entre réplicas. zipcode_demographics.csv é a única dependência de dado externo em tempo de inferência (além do próprio request), versionada junto do contrato, não uma chamada a serviço externo.</w:t>
      </w:r>
    </w:p>
    <w:p>
      <w:pPr>
        <w:pStyle w:val="Heading1"/>
      </w:pPr>
      <w:r>
        <w:t>Conclusão</w:t>
      </w:r>
    </w:p>
    <w:p>
      <w:r>
        <w:t>A estratégia prioriza paridade treino/produção por reuso de código (não reimplementação), um Model Registry como pacote atômico versionado, e monitoramento por segmento em vez de métrica agregada — decorrência direta da lição concreta que o próprio projeto produziu na fase 05/11 (reversão de augmentation). A promoção de qualquer modelo para produção permanece, por princípio (P6), uma decisão humana explícita, nunca automática.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