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corrosim — multiscale corrosion-inhibitor report</w:t>
      </w:r>
    </w:p>
    <w:p>
      <w:r>
        <w:rPr>
          <w:b w:val="0"/>
          <w:color w:val="718096"/>
        </w:rPr>
        <w:t>Substrate: Fe(110)  |  Medium: 1 M HCl  |  DFT level: B3LYP/6-311++G(d,p) (ddCOSMO:water)  |  Generated 2026-07-02 07:18</w:t>
      </w:r>
    </w:p>
    <w:p>
      <w:pPr>
        <w:ind w:left="288"/>
      </w:pPr>
      <w:r>
        <w:rPr>
          <w:i/>
          <w:sz w:val="18"/>
        </w:rPr>
        <w:t>The flavonoids modelled here (kaempferol, quercetin, isorhamnetin) are documented major constituents of the Arghel (Solenostemma argel) extract, simulated as representatives — not a verified profile of a specific sample. Confirm composition by LC-MS/GC-MS before publication.</w:t>
      </w:r>
    </w:p>
    <w:p>
      <w:pPr>
        <w:pStyle w:val="Heading1"/>
      </w:pPr>
      <w:r>
        <w:t>1. Overview</w:t>
      </w:r>
    </w:p>
    <w:p>
      <w:r>
        <w:rPr>
          <w:b w:val="0"/>
        </w:rPr>
        <w:t>corrosim screens a green corrosion inhibitor by zooming in over three stages, each answering one question about how strongly the molecule sticks to the metal. Stage 1 studies the isolated molecule with quantum chemistry (which electrons it will share, and from which atoms). Stage 2 searches for its best pose on the metal surface. Stage 3 lets that pose settle at room temperature and reads off the adsorption distance. The sections below follow that order; every figure is explained on its own, and the governing equations are collected in the Scientific basis section.</w:t>
      </w:r>
    </w:p>
    <w:p>
      <w:r>
        <w:rPr>
          <w:b w:val="0"/>
          <w:sz w:val="20"/>
        </w:rPr>
        <w:t>The three-stage pipeline: a molecule (name or SMILES), a substrate metal and a corrosive medium go in; DFT reactivity descriptors, a Monte-Carlo adsorption pose, a Brownian-MD adsorption distance, a ranking and this report come out.</w:t>
      </w:r>
    </w:p>
    <w:p>
      <w:pPr>
        <w:jc w:val="center"/>
      </w:pPr>
      <w:r>
        <w:drawing>
          <wp:inline xmlns:a="http://schemas.openxmlformats.org/drawingml/2006/main" xmlns:pic="http://schemas.openxmlformats.org/drawingml/2006/picture">
            <wp:extent cx="5212080" cy="4387844"/>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212080" cy="4387844"/>
                    </a:xfrm>
                    <a:prstGeom prst="rect"/>
                  </pic:spPr>
                </pic:pic>
              </a:graphicData>
            </a:graphic>
          </wp:inline>
        </w:drawing>
      </w:r>
    </w:p>
    <w:p>
      <w:pPr>
        <w:jc w:val="center"/>
      </w:pPr>
      <w:r>
        <w:rPr>
          <w:i/>
          <w:color w:val="718096"/>
          <w:sz w:val="16"/>
        </w:rPr>
        <w:t>corrosim pipeline</w:t>
      </w:r>
    </w:p>
    <w:p>
      <w:pPr>
        <w:pStyle w:val="Heading1"/>
      </w:pPr>
      <w:r>
        <w:t>2. Summary &amp; ranking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name</w:t>
            </w:r>
          </w:p>
        </w:tc>
        <w:tc>
          <w:tcPr>
            <w:tcW w:type="dxa" w:w="1080"/>
          </w:tcPr>
          <w:p>
            <w:r>
              <w:rPr>
                <w:b/>
                <w:sz w:val="17"/>
              </w:rPr>
              <w:t>gap_ev</w:t>
            </w:r>
          </w:p>
        </w:tc>
        <w:tc>
          <w:tcPr>
            <w:tcW w:type="dxa" w:w="1080"/>
          </w:tcPr>
          <w:p>
            <w:r>
              <w:rPr>
                <w:b/>
                <w:sz w:val="17"/>
              </w:rPr>
              <w:t>hardness_ev</w:t>
            </w:r>
          </w:p>
        </w:tc>
        <w:tc>
          <w:tcPr>
            <w:tcW w:type="dxa" w:w="1080"/>
          </w:tcPr>
          <w:p>
            <w:r>
              <w:rPr>
                <w:b/>
                <w:sz w:val="17"/>
              </w:rPr>
              <w:t>softness_inv_ev</w:t>
            </w:r>
          </w:p>
        </w:tc>
        <w:tc>
          <w:tcPr>
            <w:tcW w:type="dxa" w:w="1080"/>
          </w:tcPr>
          <w:p>
            <w:r>
              <w:rPr>
                <w:b/>
                <w:sz w:val="17"/>
              </w:rPr>
              <w:t>delta_n</w:t>
            </w:r>
          </w:p>
        </w:tc>
        <w:tc>
          <w:tcPr>
            <w:tcW w:type="dxa" w:w="1080"/>
          </w:tcPr>
          <w:p>
            <w:r>
              <w:rPr>
                <w:b/>
                <w:sz w:val="17"/>
              </w:rPr>
              <w:t>e_ads_kjmol</w:t>
            </w:r>
          </w:p>
        </w:tc>
        <w:tc>
          <w:tcPr>
            <w:tcW w:type="dxa" w:w="1080"/>
          </w:tcPr>
          <w:p>
            <w:r>
              <w:rPr>
                <w:b/>
                <w:sz w:val="17"/>
              </w:rPr>
              <w:t>ads_dist_A</w:t>
            </w:r>
          </w:p>
        </w:tc>
        <w:tc>
          <w:tcPr>
            <w:tcW w:type="dxa" w:w="1080"/>
          </w:tcPr>
          <w:p>
            <w:r>
              <w:rPr>
                <w:b/>
                <w:sz w:val="17"/>
              </w:rPr>
              <w:t>score</w:t>
            </w:r>
          </w:p>
        </w:tc>
      </w:tr>
      <w:tr>
        <w:tc>
          <w:tcPr>
            <w:tcW w:type="dxa" w:w="1080"/>
          </w:tcPr>
          <w:p>
            <w:r>
              <w:rPr>
                <w:b/>
                <w:sz w:val="17"/>
              </w:rPr>
              <w:t>quercetin</w:t>
            </w:r>
          </w:p>
        </w:tc>
        <w:tc>
          <w:tcPr>
            <w:tcW w:type="dxa" w:w="1080"/>
          </w:tcPr>
          <w:p>
            <w:r>
              <w:rPr>
                <w:b/>
                <w:sz w:val="17"/>
              </w:rPr>
              <w:t>4.082</w:t>
            </w:r>
          </w:p>
        </w:tc>
        <w:tc>
          <w:tcPr>
            <w:tcW w:type="dxa" w:w="1080"/>
          </w:tcPr>
          <w:p>
            <w:r>
              <w:rPr>
                <w:b/>
                <w:sz w:val="17"/>
              </w:rPr>
              <w:t>2.041</w:t>
            </w:r>
          </w:p>
        </w:tc>
        <w:tc>
          <w:tcPr>
            <w:tcW w:type="dxa" w:w="1080"/>
          </w:tcPr>
          <w:p>
            <w:r>
              <w:rPr>
                <w:b/>
                <w:sz w:val="17"/>
              </w:rPr>
              <w:t>0.49</w:t>
            </w:r>
          </w:p>
        </w:tc>
        <w:tc>
          <w:tcPr>
            <w:tcW w:type="dxa" w:w="1080"/>
          </w:tcPr>
          <w:p>
            <w:r>
              <w:rPr>
                <w:b/>
                <w:sz w:val="17"/>
              </w:rPr>
              <w:t>0.178</w:t>
            </w:r>
          </w:p>
        </w:tc>
        <w:tc>
          <w:tcPr>
            <w:tcW w:type="dxa" w:w="1080"/>
          </w:tcPr>
          <w:p>
            <w:r>
              <w:rPr>
                <w:b/>
                <w:sz w:val="17"/>
              </w:rPr>
              <w:t>-15.97</w:t>
            </w:r>
          </w:p>
        </w:tc>
        <w:tc>
          <w:tcPr>
            <w:tcW w:type="dxa" w:w="1080"/>
          </w:tcPr>
          <w:p>
            <w:r>
              <w:rPr>
                <w:b/>
                <w:sz w:val="17"/>
              </w:rPr>
              <w:t>3.65</w:t>
            </w:r>
          </w:p>
        </w:tc>
        <w:tc>
          <w:tcPr>
            <w:tcW w:type="dxa" w:w="1080"/>
          </w:tcPr>
          <w:p>
            <w:r>
              <w:rPr>
                <w:b/>
                <w:sz w:val="17"/>
              </w:rPr>
              <w:t>0.995</w:t>
            </w:r>
          </w:p>
        </w:tc>
      </w:tr>
      <w:tr>
        <w:tc>
          <w:tcPr>
            <w:tcW w:type="dxa" w:w="1080"/>
          </w:tcPr>
          <w:p>
            <w:r>
              <w:rPr>
                <w:b w:val="0"/>
                <w:sz w:val="17"/>
              </w:rPr>
              <w:t>isorhamnetin</w:t>
            </w:r>
          </w:p>
        </w:tc>
        <w:tc>
          <w:tcPr>
            <w:tcW w:type="dxa" w:w="1080"/>
          </w:tcPr>
          <w:p>
            <w:r>
              <w:rPr>
                <w:b w:val="0"/>
                <w:sz w:val="17"/>
              </w:rPr>
              <w:t>4.099</w:t>
            </w:r>
          </w:p>
        </w:tc>
        <w:tc>
          <w:tcPr>
            <w:tcW w:type="dxa" w:w="1080"/>
          </w:tcPr>
          <w:p>
            <w:r>
              <w:rPr>
                <w:b w:val="0"/>
                <w:sz w:val="17"/>
              </w:rPr>
              <w:t>2.049</w:t>
            </w:r>
          </w:p>
        </w:tc>
        <w:tc>
          <w:tcPr>
            <w:tcW w:type="dxa" w:w="1080"/>
          </w:tcPr>
          <w:p>
            <w:r>
              <w:rPr>
                <w:b w:val="0"/>
                <w:sz w:val="17"/>
              </w:rPr>
              <w:t>0.488</w:t>
            </w:r>
          </w:p>
        </w:tc>
        <w:tc>
          <w:tcPr>
            <w:tcW w:type="dxa" w:w="1080"/>
          </w:tcPr>
          <w:p>
            <w:r>
              <w:rPr>
                <w:b w:val="0"/>
                <w:sz w:val="17"/>
              </w:rPr>
              <w:t>0.21</w:t>
            </w:r>
          </w:p>
        </w:tc>
        <w:tc>
          <w:tcPr>
            <w:tcW w:type="dxa" w:w="1080"/>
          </w:tcPr>
          <w:p>
            <w:r>
              <w:rPr>
                <w:b w:val="0"/>
                <w:sz w:val="17"/>
              </w:rPr>
              <w:t>-16.74</w:t>
            </w:r>
          </w:p>
        </w:tc>
        <w:tc>
          <w:tcPr>
            <w:tcW w:type="dxa" w:w="1080"/>
          </w:tcPr>
          <w:p>
            <w:r>
              <w:rPr>
                <w:b w:val="0"/>
                <w:sz w:val="17"/>
              </w:rPr>
              <w:t>3.75</w:t>
            </w:r>
          </w:p>
        </w:tc>
        <w:tc>
          <w:tcPr>
            <w:tcW w:type="dxa" w:w="1080"/>
          </w:tcPr>
          <w:p>
            <w:r>
              <w:rPr>
                <w:b w:val="0"/>
                <w:sz w:val="17"/>
              </w:rPr>
              <w:t>0.373</w:t>
            </w:r>
          </w:p>
        </w:tc>
      </w:tr>
      <w:tr>
        <w:tc>
          <w:tcPr>
            <w:tcW w:type="dxa" w:w="1080"/>
          </w:tcPr>
          <w:p>
            <w:r>
              <w:rPr>
                <w:b w:val="0"/>
                <w:sz w:val="17"/>
              </w:rPr>
              <w:t>kaempferol</w:t>
            </w:r>
          </w:p>
        </w:tc>
        <w:tc>
          <w:tcPr>
            <w:tcW w:type="dxa" w:w="1080"/>
          </w:tcPr>
          <w:p>
            <w:r>
              <w:rPr>
                <w:b w:val="0"/>
                <w:sz w:val="17"/>
              </w:rPr>
              <w:t>4.146</w:t>
            </w:r>
          </w:p>
        </w:tc>
        <w:tc>
          <w:tcPr>
            <w:tcW w:type="dxa" w:w="1080"/>
          </w:tcPr>
          <w:p>
            <w:r>
              <w:rPr>
                <w:b w:val="0"/>
                <w:sz w:val="17"/>
              </w:rPr>
              <w:t>2.073</w:t>
            </w:r>
          </w:p>
        </w:tc>
        <w:tc>
          <w:tcPr>
            <w:tcW w:type="dxa" w:w="1080"/>
          </w:tcPr>
          <w:p>
            <w:r>
              <w:rPr>
                <w:b w:val="0"/>
                <w:sz w:val="17"/>
              </w:rPr>
              <w:t>0.482</w:t>
            </w:r>
          </w:p>
        </w:tc>
        <w:tc>
          <w:tcPr>
            <w:tcW w:type="dxa" w:w="1080"/>
          </w:tcPr>
          <w:p>
            <w:r>
              <w:rPr>
                <w:b w:val="0"/>
                <w:sz w:val="17"/>
              </w:rPr>
              <w:t>0.169</w:t>
            </w:r>
          </w:p>
        </w:tc>
        <w:tc>
          <w:tcPr>
            <w:tcW w:type="dxa" w:w="1080"/>
          </w:tcPr>
          <w:p>
            <w:r>
              <w:rPr>
                <w:b w:val="0"/>
                <w:sz w:val="17"/>
              </w:rPr>
              <w:t>-16.55</w:t>
            </w:r>
          </w:p>
        </w:tc>
        <w:tc>
          <w:tcPr>
            <w:tcW w:type="dxa" w:w="1080"/>
          </w:tcPr>
          <w:p>
            <w:r>
              <w:rPr>
                <w:b w:val="0"/>
                <w:sz w:val="17"/>
              </w:rPr>
              <w:t>3.35</w:t>
            </w:r>
          </w:p>
        </w:tc>
        <w:tc>
          <w:tcPr>
            <w:tcW w:type="dxa" w:w="1080"/>
          </w:tcPr>
          <w:p>
            <w:r>
              <w:rPr>
                <w:b w:val="0"/>
                <w:sz w:val="17"/>
              </w:rPr>
              <w:t>-1.368</w:t>
            </w:r>
          </w:p>
        </w:tc>
      </w:tr>
    </w:tbl>
    <w:p>
      <w:r>
        <w:rPr>
          <w:b w:val="0"/>
          <w:color w:val="718096"/>
        </w:rPr>
        <w:t>Composite score z-scores a smaller gap, lower hardness and higher softness (higher = stronger predicted reactivity); E_ads (Stage 2) and the Fe-O distance (Stage 3) are shown alongside.</w:t>
      </w:r>
    </w:p>
    <w:p>
      <w:pPr>
        <w:pStyle w:val="Heading1"/>
      </w:pPr>
      <w:r>
        <w:t>3. Stage 1 — DFT electronic descriptors</w:t>
      </w:r>
    </w:p>
    <w:p>
      <w:r>
        <w:rPr>
          <w:b w:val="0"/>
        </w:rPr>
        <w:t>Density-functional theory solves the molecule's electronic structure and gives the frontier orbitals — the HOMO (the electrons most willing to be shared with the metal) and the LUMO (the lowest empty level that can accept metal back-donation). Their energies yield the global reactivity descriptors (gap, hardness η, softness σ, electronegativity χ, electrophilicity ω, and the charge transfer ΔN) used to rank the candidates. See the Scientific basis section for each definition.</w:t>
      </w:r>
    </w:p>
    <w:p>
      <w:pPr>
        <w:jc w:val="center"/>
      </w:pPr>
      <w:r>
        <w:drawing>
          <wp:inline xmlns:a="http://schemas.openxmlformats.org/drawingml/2006/main" xmlns:pic="http://schemas.openxmlformats.org/drawingml/2006/picture">
            <wp:extent cx="5212080" cy="1421476"/>
            <wp:docPr id="2" name="Picture 2"/>
            <wp:cNvGraphicFramePr>
              <a:graphicFrameLocks noChangeAspect="1"/>
            </wp:cNvGraphicFramePr>
            <a:graphic>
              <a:graphicData uri="http://schemas.openxmlformats.org/drawingml/2006/picture">
                <pic:pic>
                  <pic:nvPicPr>
                    <pic:cNvPr id="0" name="fig1_structures.png"/>
                    <pic:cNvPicPr/>
                  </pic:nvPicPr>
                  <pic:blipFill>
                    <a:blip r:embed="rId10"/>
                    <a:stretch>
                      <a:fillRect/>
                    </a:stretch>
                  </pic:blipFill>
                  <pic:spPr>
                    <a:xfrm>
                      <a:off x="0" y="0"/>
                      <a:ext cx="5212080" cy="1421476"/>
                    </a:xfrm>
                    <a:prstGeom prst="rect"/>
                  </pic:spPr>
                </pic:pic>
              </a:graphicData>
            </a:graphic>
          </wp:inline>
        </w:drawing>
      </w:r>
    </w:p>
    <w:p>
      <w:pPr>
        <w:jc w:val="center"/>
      </w:pPr>
      <w:r>
        <w:rPr>
          <w:i/>
          <w:color w:val="718096"/>
          <w:sz w:val="16"/>
        </w:rPr>
        <w:t>Modelled flavonoids</w:t>
      </w:r>
    </w:p>
    <w:p>
      <w:r>
        <w:rPr>
          <w:b w:val="0"/>
          <w:sz w:val="20"/>
        </w:rPr>
        <w:t>The 2D structures of the modelled flavonoids. All three share the flavonol core (a 4-oxo chromone with a 3-OH and a B-ring); they differ in B-ring substitution — quercetin's catechol (3',4'-diOH), kaempferol's single 4'-OH, and isorhamnetin's 3'-OMe/4'-OH — which is what shifts their descriptors.</w:t>
      </w:r>
    </w:p>
    <w:p>
      <w:pPr>
        <w:jc w:val="center"/>
      </w:pPr>
      <w:r>
        <w:drawing>
          <wp:inline xmlns:a="http://schemas.openxmlformats.org/drawingml/2006/main" xmlns:pic="http://schemas.openxmlformats.org/drawingml/2006/picture">
            <wp:extent cx="5212080" cy="4074608"/>
            <wp:docPr id="3" name="Picture 3"/>
            <wp:cNvGraphicFramePr>
              <a:graphicFrameLocks noChangeAspect="1"/>
            </wp:cNvGraphicFramePr>
            <a:graphic>
              <a:graphicData uri="http://schemas.openxmlformats.org/drawingml/2006/picture">
                <pic:pic>
                  <pic:nvPicPr>
                    <pic:cNvPr id="0" name="fig2_mo_diagram.png"/>
                    <pic:cNvPicPr/>
                  </pic:nvPicPr>
                  <pic:blipFill>
                    <a:blip r:embed="rId11"/>
                    <a:stretch>
                      <a:fillRect/>
                    </a:stretch>
                  </pic:blipFill>
                  <pic:spPr>
                    <a:xfrm>
                      <a:off x="0" y="0"/>
                      <a:ext cx="5212080" cy="4074608"/>
                    </a:xfrm>
                    <a:prstGeom prst="rect"/>
                  </pic:spPr>
                </pic:pic>
              </a:graphicData>
            </a:graphic>
          </wp:inline>
        </w:drawing>
      </w:r>
    </w:p>
    <w:p>
      <w:pPr>
        <w:jc w:val="center"/>
      </w:pPr>
      <w:r>
        <w:rPr>
          <w:i/>
          <w:color w:val="718096"/>
          <w:sz w:val="16"/>
        </w:rPr>
        <w:t>Frontier-orbital energies vs Fe(110) work function</w:t>
      </w:r>
    </w:p>
    <w:p>
      <w:r>
        <w:rPr>
          <w:b w:val="0"/>
          <w:sz w:val="20"/>
        </w:rPr>
        <w:t>Frontier-orbital energy levels (HOMO below, LUMO above, gap arrowed) for each molecule, with the Fe(110) Fermi level (−Φ = −4.82 eV) as the dashed reference. A HOMO lying near −Φ and a small gap favour electron sharing with the metal.</w:t>
      </w:r>
    </w:p>
    <w:p>
      <w:pPr>
        <w:pStyle w:val="Heading2"/>
      </w:pPr>
      <w:r>
        <w:t>3.1 Frontier-orbital isosurfaces (HOMO / LUMO)</w:t>
      </w:r>
    </w:p>
    <w:p>
      <w:pPr>
        <w:jc w:val="center"/>
      </w:pPr>
      <w:r>
        <w:drawing>
          <wp:inline xmlns:a="http://schemas.openxmlformats.org/drawingml/2006/main" xmlns:pic="http://schemas.openxmlformats.org/drawingml/2006/picture">
            <wp:extent cx="2651760" cy="2756387"/>
            <wp:docPr id="4" name="Picture 4"/>
            <wp:cNvGraphicFramePr>
              <a:graphicFrameLocks noChangeAspect="1"/>
            </wp:cNvGraphicFramePr>
            <a:graphic>
              <a:graphicData uri="http://schemas.openxmlformats.org/drawingml/2006/picture">
                <pic:pic>
                  <pic:nvPicPr>
                    <pic:cNvPr id="0" name="fig2b_kaempferol_homo.png"/>
                    <pic:cNvPicPr/>
                  </pic:nvPicPr>
                  <pic:blipFill>
                    <a:blip r:embed="rId12"/>
                    <a:stretch>
                      <a:fillRect/>
                    </a:stretch>
                  </pic:blipFill>
                  <pic:spPr>
                    <a:xfrm>
                      <a:off x="0" y="0"/>
                      <a:ext cx="2651760" cy="2756387"/>
                    </a:xfrm>
                    <a:prstGeom prst="rect"/>
                  </pic:spPr>
                </pic:pic>
              </a:graphicData>
            </a:graphic>
          </wp:inline>
        </w:drawing>
      </w:r>
    </w:p>
    <w:p>
      <w:pPr>
        <w:jc w:val="center"/>
      </w:pPr>
      <w:r>
        <w:rPr>
          <w:i/>
          <w:color w:val="718096"/>
          <w:sz w:val="16"/>
        </w:rPr>
        <w:t>kaempferol HOMO</w:t>
      </w:r>
    </w:p>
    <w:p>
      <w:pPr>
        <w:jc w:val="center"/>
      </w:pPr>
      <w:r>
        <w:drawing>
          <wp:inline xmlns:a="http://schemas.openxmlformats.org/drawingml/2006/main" xmlns:pic="http://schemas.openxmlformats.org/drawingml/2006/picture">
            <wp:extent cx="2651760" cy="2756387"/>
            <wp:docPr id="5" name="Picture 5"/>
            <wp:cNvGraphicFramePr>
              <a:graphicFrameLocks noChangeAspect="1"/>
            </wp:cNvGraphicFramePr>
            <a:graphic>
              <a:graphicData uri="http://schemas.openxmlformats.org/drawingml/2006/picture">
                <pic:pic>
                  <pic:nvPicPr>
                    <pic:cNvPr id="0" name="fig2b_quercetin_homo.png"/>
                    <pic:cNvPicPr/>
                  </pic:nvPicPr>
                  <pic:blipFill>
                    <a:blip r:embed="rId13"/>
                    <a:stretch>
                      <a:fillRect/>
                    </a:stretch>
                  </pic:blipFill>
                  <pic:spPr>
                    <a:xfrm>
                      <a:off x="0" y="0"/>
                      <a:ext cx="2651760" cy="2756387"/>
                    </a:xfrm>
                    <a:prstGeom prst="rect"/>
                  </pic:spPr>
                </pic:pic>
              </a:graphicData>
            </a:graphic>
          </wp:inline>
        </w:drawing>
      </w:r>
    </w:p>
    <w:p>
      <w:pPr>
        <w:jc w:val="center"/>
      </w:pPr>
      <w:r>
        <w:rPr>
          <w:i/>
          <w:color w:val="718096"/>
          <w:sz w:val="16"/>
        </w:rPr>
        <w:t>quercetin HOMO</w:t>
      </w:r>
    </w:p>
    <w:p>
      <w:pPr>
        <w:jc w:val="center"/>
      </w:pPr>
      <w:r>
        <w:drawing>
          <wp:inline xmlns:a="http://schemas.openxmlformats.org/drawingml/2006/main" xmlns:pic="http://schemas.openxmlformats.org/drawingml/2006/picture">
            <wp:extent cx="2651760" cy="2756387"/>
            <wp:docPr id="6" name="Picture 6"/>
            <wp:cNvGraphicFramePr>
              <a:graphicFrameLocks noChangeAspect="1"/>
            </wp:cNvGraphicFramePr>
            <a:graphic>
              <a:graphicData uri="http://schemas.openxmlformats.org/drawingml/2006/picture">
                <pic:pic>
                  <pic:nvPicPr>
                    <pic:cNvPr id="0" name="fig2b_isorhamnetin_homo.png"/>
                    <pic:cNvPicPr/>
                  </pic:nvPicPr>
                  <pic:blipFill>
                    <a:blip r:embed="rId14"/>
                    <a:stretch>
                      <a:fillRect/>
                    </a:stretch>
                  </pic:blipFill>
                  <pic:spPr>
                    <a:xfrm>
                      <a:off x="0" y="0"/>
                      <a:ext cx="2651760" cy="2756387"/>
                    </a:xfrm>
                    <a:prstGeom prst="rect"/>
                  </pic:spPr>
                </pic:pic>
              </a:graphicData>
            </a:graphic>
          </wp:inline>
        </w:drawing>
      </w:r>
    </w:p>
    <w:p>
      <w:pPr>
        <w:jc w:val="center"/>
      </w:pPr>
      <w:r>
        <w:rPr>
          <w:i/>
          <w:color w:val="718096"/>
          <w:sz w:val="16"/>
        </w:rPr>
        <w:t>isorhamnetin HOMO</w:t>
      </w:r>
    </w:p>
    <w:p>
      <w:r>
        <w:rPr>
          <w:b w:val="0"/>
          <w:sz w:val="20"/>
        </w:rPr>
        <w:t>The HOMO isosurface — the spatial shape of the electrons the molecule is most ready to donate to the metal. Its lobes sit over the electron-rich oxygen and ring systems that anchor adsorption.</w:t>
      </w:r>
    </w:p>
    <w:p>
      <w:pPr>
        <w:jc w:val="center"/>
      </w:pPr>
      <w:r>
        <w:drawing>
          <wp:inline xmlns:a="http://schemas.openxmlformats.org/drawingml/2006/main" xmlns:pic="http://schemas.openxmlformats.org/drawingml/2006/picture">
            <wp:extent cx="2651760" cy="2756387"/>
            <wp:docPr id="7" name="Picture 7"/>
            <wp:cNvGraphicFramePr>
              <a:graphicFrameLocks noChangeAspect="1"/>
            </wp:cNvGraphicFramePr>
            <a:graphic>
              <a:graphicData uri="http://schemas.openxmlformats.org/drawingml/2006/picture">
                <pic:pic>
                  <pic:nvPicPr>
                    <pic:cNvPr id="0" name="fig2b_kaempferol_lumo.png"/>
                    <pic:cNvPicPr/>
                  </pic:nvPicPr>
                  <pic:blipFill>
                    <a:blip r:embed="rId15"/>
                    <a:stretch>
                      <a:fillRect/>
                    </a:stretch>
                  </pic:blipFill>
                  <pic:spPr>
                    <a:xfrm>
                      <a:off x="0" y="0"/>
                      <a:ext cx="2651760" cy="2756387"/>
                    </a:xfrm>
                    <a:prstGeom prst="rect"/>
                  </pic:spPr>
                </pic:pic>
              </a:graphicData>
            </a:graphic>
          </wp:inline>
        </w:drawing>
      </w:r>
    </w:p>
    <w:p>
      <w:pPr>
        <w:jc w:val="center"/>
      </w:pPr>
      <w:r>
        <w:rPr>
          <w:i/>
          <w:color w:val="718096"/>
          <w:sz w:val="16"/>
        </w:rPr>
        <w:t>kaempferol LUMO</w:t>
      </w:r>
    </w:p>
    <w:p>
      <w:pPr>
        <w:jc w:val="center"/>
      </w:pPr>
      <w:r>
        <w:drawing>
          <wp:inline xmlns:a="http://schemas.openxmlformats.org/drawingml/2006/main" xmlns:pic="http://schemas.openxmlformats.org/drawingml/2006/picture">
            <wp:extent cx="2651760" cy="2756387"/>
            <wp:docPr id="8" name="Picture 8"/>
            <wp:cNvGraphicFramePr>
              <a:graphicFrameLocks noChangeAspect="1"/>
            </wp:cNvGraphicFramePr>
            <a:graphic>
              <a:graphicData uri="http://schemas.openxmlformats.org/drawingml/2006/picture">
                <pic:pic>
                  <pic:nvPicPr>
                    <pic:cNvPr id="0" name="fig2b_quercetin_lumo.png"/>
                    <pic:cNvPicPr/>
                  </pic:nvPicPr>
                  <pic:blipFill>
                    <a:blip r:embed="rId16"/>
                    <a:stretch>
                      <a:fillRect/>
                    </a:stretch>
                  </pic:blipFill>
                  <pic:spPr>
                    <a:xfrm>
                      <a:off x="0" y="0"/>
                      <a:ext cx="2651760" cy="2756387"/>
                    </a:xfrm>
                    <a:prstGeom prst="rect"/>
                  </pic:spPr>
                </pic:pic>
              </a:graphicData>
            </a:graphic>
          </wp:inline>
        </w:drawing>
      </w:r>
    </w:p>
    <w:p>
      <w:pPr>
        <w:jc w:val="center"/>
      </w:pPr>
      <w:r>
        <w:rPr>
          <w:i/>
          <w:color w:val="718096"/>
          <w:sz w:val="16"/>
        </w:rPr>
        <w:t>quercetin LUMO</w:t>
      </w:r>
    </w:p>
    <w:p>
      <w:pPr>
        <w:jc w:val="center"/>
      </w:pPr>
      <w:r>
        <w:drawing>
          <wp:inline xmlns:a="http://schemas.openxmlformats.org/drawingml/2006/main" xmlns:pic="http://schemas.openxmlformats.org/drawingml/2006/picture">
            <wp:extent cx="2651760" cy="2756387"/>
            <wp:docPr id="9" name="Picture 9"/>
            <wp:cNvGraphicFramePr>
              <a:graphicFrameLocks noChangeAspect="1"/>
            </wp:cNvGraphicFramePr>
            <a:graphic>
              <a:graphicData uri="http://schemas.openxmlformats.org/drawingml/2006/picture">
                <pic:pic>
                  <pic:nvPicPr>
                    <pic:cNvPr id="0" name="fig2b_isorhamnetin_lumo.png"/>
                    <pic:cNvPicPr/>
                  </pic:nvPicPr>
                  <pic:blipFill>
                    <a:blip r:embed="rId17"/>
                    <a:stretch>
                      <a:fillRect/>
                    </a:stretch>
                  </pic:blipFill>
                  <pic:spPr>
                    <a:xfrm>
                      <a:off x="0" y="0"/>
                      <a:ext cx="2651760" cy="2756387"/>
                    </a:xfrm>
                    <a:prstGeom prst="rect"/>
                  </pic:spPr>
                </pic:pic>
              </a:graphicData>
            </a:graphic>
          </wp:inline>
        </w:drawing>
      </w:r>
    </w:p>
    <w:p>
      <w:pPr>
        <w:jc w:val="center"/>
      </w:pPr>
      <w:r>
        <w:rPr>
          <w:i/>
          <w:color w:val="718096"/>
          <w:sz w:val="16"/>
        </w:rPr>
        <w:t>isorhamnetin LUMO</w:t>
      </w:r>
    </w:p>
    <w:p>
      <w:r>
        <w:rPr>
          <w:b w:val="0"/>
          <w:sz w:val="20"/>
        </w:rPr>
        <w:t>The LUMO isosurface — the lowest empty level that accepts back-donation from the metal d-electrons, the complementary half of the donor-acceptor adsorption bond.</w:t>
      </w:r>
    </w:p>
    <w:p>
      <w:pPr>
        <w:jc w:val="center"/>
      </w:pPr>
      <w:r>
        <w:drawing>
          <wp:inline xmlns:a="http://schemas.openxmlformats.org/drawingml/2006/main" xmlns:pic="http://schemas.openxmlformats.org/drawingml/2006/picture">
            <wp:extent cx="5212080" cy="1467915"/>
            <wp:docPr id="10" name="Picture 10"/>
            <wp:cNvGraphicFramePr>
              <a:graphicFrameLocks noChangeAspect="1"/>
            </wp:cNvGraphicFramePr>
            <a:graphic>
              <a:graphicData uri="http://schemas.openxmlformats.org/drawingml/2006/picture">
                <pic:pic>
                  <pic:nvPicPr>
                    <pic:cNvPr id="0" name="fig3_descriptors.png"/>
                    <pic:cNvPicPr/>
                  </pic:nvPicPr>
                  <pic:blipFill>
                    <a:blip r:embed="rId18"/>
                    <a:stretch>
                      <a:fillRect/>
                    </a:stretch>
                  </pic:blipFill>
                  <pic:spPr>
                    <a:xfrm>
                      <a:off x="0" y="0"/>
                      <a:ext cx="5212080" cy="1467915"/>
                    </a:xfrm>
                    <a:prstGeom prst="rect"/>
                  </pic:spPr>
                </pic:pic>
              </a:graphicData>
            </a:graphic>
          </wp:inline>
        </w:drawing>
      </w:r>
    </w:p>
    <w:p>
      <w:pPr>
        <w:jc w:val="center"/>
      </w:pPr>
      <w:r>
        <w:rPr>
          <w:i/>
          <w:color w:val="718096"/>
          <w:sz w:val="16"/>
        </w:rPr>
        <w:t>Reactivity descriptors</w:t>
      </w:r>
    </w:p>
    <w:p>
      <w:r>
        <w:rPr>
          <w:b w:val="0"/>
          <w:sz w:val="20"/>
        </w:rPr>
        <w:t>The global reactivity descriptors side by side. Read together: a small gap and low hardness with high softness mark an easily-polarised, strongly-adsorbing inhibitor; a positive ΔN in the Lukovits window (0 &lt; ΔN &lt; 3.6) marks net electron donation to the metal.</w:t>
      </w:r>
    </w:p>
    <w:p>
      <w:pPr>
        <w:jc w:val="center"/>
      </w:pPr>
      <w:r>
        <w:drawing>
          <wp:inline xmlns:a="http://schemas.openxmlformats.org/drawingml/2006/main" xmlns:pic="http://schemas.openxmlformats.org/drawingml/2006/picture">
            <wp:extent cx="5212080" cy="2084832"/>
            <wp:docPr id="11" name="Picture 11"/>
            <wp:cNvGraphicFramePr>
              <a:graphicFrameLocks noChangeAspect="1"/>
            </wp:cNvGraphicFramePr>
            <a:graphic>
              <a:graphicData uri="http://schemas.openxmlformats.org/drawingml/2006/picture">
                <pic:pic>
                  <pic:nvPicPr>
                    <pic:cNvPr id="0" name="fig3b_protonation.png"/>
                    <pic:cNvPicPr/>
                  </pic:nvPicPr>
                  <pic:blipFill>
                    <a:blip r:embed="rId19"/>
                    <a:stretch>
                      <a:fillRect/>
                    </a:stretch>
                  </pic:blipFill>
                  <pic:spPr>
                    <a:xfrm>
                      <a:off x="0" y="0"/>
                      <a:ext cx="5212080" cy="2084832"/>
                    </a:xfrm>
                    <a:prstGeom prst="rect"/>
                  </pic:spPr>
                </pic:pic>
              </a:graphicData>
            </a:graphic>
          </wp:inline>
        </w:drawing>
      </w:r>
    </w:p>
    <w:p>
      <w:pPr>
        <w:jc w:val="center"/>
      </w:pPr>
      <w:r>
        <w:rPr>
          <w:i/>
          <w:color w:val="718096"/>
          <w:sz w:val="16"/>
        </w:rPr>
        <w:t>Protonation effect (1 M HCl)</w:t>
      </w:r>
    </w:p>
    <w:p>
      <w:r>
        <w:rPr>
          <w:b w:val="0"/>
          <w:sz w:val="20"/>
        </w:rPr>
        <w:t>Gap and ΔN for the neutral molecule vs its +1 cation in the acidic medium. Protonation lowers the gap and drives ΔN negative — the electron-poor cation stops donating — which is why the headline ranking is stated on the neutral form (ADR 0003), the species that actually dominates here (see Speciation).</w:t>
      </w:r>
    </w:p>
    <w:p>
      <w:pPr>
        <w:pStyle w:val="Heading2"/>
      </w:pPr>
      <w:r>
        <w:t>3.2 Full descriptor table (neutral, aqueous)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7"/>
              </w:rPr>
              <w:t>name</w:t>
            </w:r>
          </w:p>
        </w:tc>
        <w:tc>
          <w:tcPr>
            <w:tcW w:type="dxa" w:w="576"/>
          </w:tcPr>
          <w:p>
            <w:r>
              <w:rPr>
                <w:b/>
                <w:sz w:val="17"/>
              </w:rPr>
              <w:t>formula</w:t>
            </w:r>
          </w:p>
        </w:tc>
        <w:tc>
          <w:tcPr>
            <w:tcW w:type="dxa" w:w="576"/>
          </w:tcPr>
          <w:p>
            <w:r>
              <w:rPr>
                <w:b/>
                <w:sz w:val="17"/>
              </w:rPr>
              <w:t>charge</w:t>
            </w:r>
          </w:p>
        </w:tc>
        <w:tc>
          <w:tcPr>
            <w:tcW w:type="dxa" w:w="576"/>
          </w:tcPr>
          <w:p>
            <w:r>
              <w:rPr>
                <w:b/>
                <w:sz w:val="17"/>
              </w:rPr>
              <w:t>level</w:t>
            </w:r>
          </w:p>
        </w:tc>
        <w:tc>
          <w:tcPr>
            <w:tcW w:type="dxa" w:w="576"/>
          </w:tcPr>
          <w:p>
            <w:r>
              <w:rPr>
                <w:b/>
                <w:sz w:val="17"/>
              </w:rPr>
              <w:t>homo_ev</w:t>
            </w:r>
          </w:p>
        </w:tc>
        <w:tc>
          <w:tcPr>
            <w:tcW w:type="dxa" w:w="576"/>
          </w:tcPr>
          <w:p>
            <w:r>
              <w:rPr>
                <w:b/>
                <w:sz w:val="17"/>
              </w:rPr>
              <w:t>lumo_ev</w:t>
            </w:r>
          </w:p>
        </w:tc>
        <w:tc>
          <w:tcPr>
            <w:tcW w:type="dxa" w:w="576"/>
          </w:tcPr>
          <w:p>
            <w:r>
              <w:rPr>
                <w:b/>
                <w:sz w:val="17"/>
              </w:rPr>
              <w:t>gap_ev</w:t>
            </w:r>
          </w:p>
        </w:tc>
        <w:tc>
          <w:tcPr>
            <w:tcW w:type="dxa" w:w="576"/>
          </w:tcPr>
          <w:p>
            <w:r>
              <w:rPr>
                <w:b/>
                <w:sz w:val="17"/>
              </w:rPr>
              <w:t>hardness_ev</w:t>
            </w:r>
          </w:p>
        </w:tc>
        <w:tc>
          <w:tcPr>
            <w:tcW w:type="dxa" w:w="576"/>
          </w:tcPr>
          <w:p>
            <w:r>
              <w:rPr>
                <w:b/>
                <w:sz w:val="17"/>
              </w:rPr>
              <w:t>softness_inv_ev</w:t>
            </w:r>
          </w:p>
        </w:tc>
        <w:tc>
          <w:tcPr>
            <w:tcW w:type="dxa" w:w="576"/>
          </w:tcPr>
          <w:p>
            <w:r>
              <w:rPr>
                <w:b/>
                <w:sz w:val="17"/>
              </w:rPr>
              <w:t>electronegativity_ev</w:t>
            </w:r>
          </w:p>
        </w:tc>
        <w:tc>
          <w:tcPr>
            <w:tcW w:type="dxa" w:w="576"/>
          </w:tcPr>
          <w:p>
            <w:r>
              <w:rPr>
                <w:b/>
                <w:sz w:val="17"/>
              </w:rPr>
              <w:t>electrophilicity_ev</w:t>
            </w:r>
          </w:p>
        </w:tc>
        <w:tc>
          <w:tcPr>
            <w:tcW w:type="dxa" w:w="576"/>
          </w:tcPr>
          <w:p>
            <w:r>
              <w:rPr>
                <w:b/>
                <w:sz w:val="17"/>
              </w:rPr>
              <w:t>delta_n</w:t>
            </w:r>
          </w:p>
        </w:tc>
        <w:tc>
          <w:tcPr>
            <w:tcW w:type="dxa" w:w="576"/>
          </w:tcPr>
          <w:p>
            <w:r>
              <w:rPr>
                <w:b/>
                <w:sz w:val="17"/>
              </w:rPr>
              <w:t>back_donation_ev</w:t>
            </w:r>
          </w:p>
        </w:tc>
        <w:tc>
          <w:tcPr>
            <w:tcW w:type="dxa" w:w="576"/>
          </w:tcPr>
          <w:p>
            <w:r>
              <w:rPr>
                <w:b/>
                <w:sz w:val="17"/>
              </w:rPr>
              <w:t>tnc</w:t>
            </w:r>
          </w:p>
        </w:tc>
        <w:tc>
          <w:tcPr>
            <w:tcW w:type="dxa" w:w="576"/>
          </w:tcPr>
          <w:p>
            <w:r>
              <w:rPr>
                <w:b/>
                <w:sz w:val="17"/>
              </w:rPr>
              <w:t>e_ads_kjmol</w:t>
            </w:r>
          </w:p>
        </w:tc>
      </w:tr>
      <w:tr>
        <w:tc>
          <w:tcPr>
            <w:tcW w:type="dxa" w:w="576"/>
          </w:tcPr>
          <w:p>
            <w:r>
              <w:rPr>
                <w:b w:val="0"/>
                <w:sz w:val="17"/>
              </w:rPr>
              <w:t>kaempferol</w:t>
            </w:r>
          </w:p>
        </w:tc>
        <w:tc>
          <w:tcPr>
            <w:tcW w:type="dxa" w:w="576"/>
          </w:tcPr>
          <w:p>
            <w:r>
              <w:rPr>
                <w:b w:val="0"/>
                <w:sz w:val="17"/>
              </w:rPr>
              <w:t>C15H10O6</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-6.193</w:t>
            </w:r>
          </w:p>
        </w:tc>
        <w:tc>
          <w:tcPr>
            <w:tcW w:type="dxa" w:w="576"/>
          </w:tcPr>
          <w:p>
            <w:r>
              <w:rPr>
                <w:b w:val="0"/>
                <w:sz w:val="17"/>
              </w:rPr>
              <w:t>-2.047</w:t>
            </w:r>
          </w:p>
        </w:tc>
        <w:tc>
          <w:tcPr>
            <w:tcW w:type="dxa" w:w="576"/>
          </w:tcPr>
          <w:p>
            <w:r>
              <w:rPr>
                <w:b w:val="0"/>
                <w:sz w:val="17"/>
              </w:rPr>
              <w:t>4.146</w:t>
            </w:r>
          </w:p>
        </w:tc>
        <w:tc>
          <w:tcPr>
            <w:tcW w:type="dxa" w:w="576"/>
          </w:tcPr>
          <w:p>
            <w:r>
              <w:rPr>
                <w:b w:val="0"/>
                <w:sz w:val="17"/>
              </w:rPr>
              <w:t>2.073</w:t>
            </w:r>
          </w:p>
        </w:tc>
        <w:tc>
          <w:tcPr>
            <w:tcW w:type="dxa" w:w="576"/>
          </w:tcPr>
          <w:p>
            <w:r>
              <w:rPr>
                <w:b w:val="0"/>
                <w:sz w:val="17"/>
              </w:rPr>
              <w:t>0.482</w:t>
            </w:r>
          </w:p>
        </w:tc>
        <w:tc>
          <w:tcPr>
            <w:tcW w:type="dxa" w:w="576"/>
          </w:tcPr>
          <w:p>
            <w:r>
              <w:rPr>
                <w:b w:val="0"/>
                <w:sz w:val="17"/>
              </w:rPr>
              <w:t>4.12</w:t>
            </w:r>
          </w:p>
        </w:tc>
        <w:tc>
          <w:tcPr>
            <w:tcW w:type="dxa" w:w="576"/>
          </w:tcPr>
          <w:p>
            <w:r>
              <w:rPr>
                <w:b w:val="0"/>
                <w:sz w:val="17"/>
              </w:rPr>
              <w:t>4.094</w:t>
            </w:r>
          </w:p>
        </w:tc>
        <w:tc>
          <w:tcPr>
            <w:tcW w:type="dxa" w:w="576"/>
          </w:tcPr>
          <w:p>
            <w:r>
              <w:rPr>
                <w:b w:val="0"/>
                <w:sz w:val="17"/>
              </w:rPr>
              <w:t>0.169</w:t>
            </w:r>
          </w:p>
        </w:tc>
        <w:tc>
          <w:tcPr>
            <w:tcW w:type="dxa" w:w="576"/>
          </w:tcPr>
          <w:p>
            <w:r>
              <w:rPr>
                <w:b w:val="0"/>
                <w:sz w:val="17"/>
              </w:rPr>
              <w:t>-0.518</w:t>
            </w:r>
          </w:p>
        </w:tc>
        <w:tc>
          <w:tcPr>
            <w:tcW w:type="dxa" w:w="576"/>
          </w:tcPr>
          <w:p>
            <w:r>
              <w:rPr>
                <w:b w:val="0"/>
                <w:sz w:val="17"/>
              </w:rPr>
              <w:t>-4.422</w:t>
            </w:r>
          </w:p>
        </w:tc>
        <w:tc>
          <w:tcPr>
            <w:tcW w:type="dxa" w:w="576"/>
          </w:tcPr>
          <w:p>
            <w:r>
              <w:rPr>
                <w:b w:val="0"/>
                <w:sz w:val="17"/>
              </w:rPr>
              <w:t>-16.55</w:t>
            </w:r>
          </w:p>
        </w:tc>
      </w:tr>
      <w:tr>
        <w:tc>
          <w:tcPr>
            <w:tcW w:type="dxa" w:w="576"/>
          </w:tcPr>
          <w:p>
            <w:r>
              <w:rPr>
                <w:b w:val="0"/>
                <w:sz w:val="17"/>
              </w:rPr>
              <w:t>quercetin</w:t>
            </w:r>
          </w:p>
        </w:tc>
        <w:tc>
          <w:tcPr>
            <w:tcW w:type="dxa" w:w="576"/>
          </w:tcPr>
          <w:p>
            <w:r>
              <w:rPr>
                <w:b w:val="0"/>
                <w:sz w:val="17"/>
              </w:rPr>
              <w:t>C15H10O7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-6.134</w:t>
            </w:r>
          </w:p>
        </w:tc>
        <w:tc>
          <w:tcPr>
            <w:tcW w:type="dxa" w:w="576"/>
          </w:tcPr>
          <w:p>
            <w:r>
              <w:rPr>
                <w:b w:val="0"/>
                <w:sz w:val="17"/>
              </w:rPr>
              <w:t>-2.052</w:t>
            </w:r>
          </w:p>
        </w:tc>
        <w:tc>
          <w:tcPr>
            <w:tcW w:type="dxa" w:w="576"/>
          </w:tcPr>
          <w:p>
            <w:r>
              <w:rPr>
                <w:b w:val="0"/>
                <w:sz w:val="17"/>
              </w:rPr>
              <w:t>4.082</w:t>
            </w:r>
          </w:p>
        </w:tc>
        <w:tc>
          <w:tcPr>
            <w:tcW w:type="dxa" w:w="576"/>
          </w:tcPr>
          <w:p>
            <w:r>
              <w:rPr>
                <w:b w:val="0"/>
                <w:sz w:val="17"/>
              </w:rPr>
              <w:t>2.041</w:t>
            </w:r>
          </w:p>
        </w:tc>
        <w:tc>
          <w:tcPr>
            <w:tcW w:type="dxa" w:w="576"/>
          </w:tcPr>
          <w:p>
            <w:r>
              <w:rPr>
                <w:b w:val="0"/>
                <w:sz w:val="17"/>
              </w:rPr>
              <w:t>0.49</w:t>
            </w:r>
          </w:p>
        </w:tc>
        <w:tc>
          <w:tcPr>
            <w:tcW w:type="dxa" w:w="576"/>
          </w:tcPr>
          <w:p>
            <w:r>
              <w:rPr>
                <w:b w:val="0"/>
                <w:sz w:val="17"/>
              </w:rPr>
              <w:t>4.093</w:t>
            </w:r>
          </w:p>
        </w:tc>
        <w:tc>
          <w:tcPr>
            <w:tcW w:type="dxa" w:w="576"/>
          </w:tcPr>
          <w:p>
            <w:r>
              <w:rPr>
                <w:b w:val="0"/>
                <w:sz w:val="17"/>
              </w:rPr>
              <w:t>4.104</w:t>
            </w:r>
          </w:p>
        </w:tc>
        <w:tc>
          <w:tcPr>
            <w:tcW w:type="dxa" w:w="576"/>
          </w:tcPr>
          <w:p>
            <w:r>
              <w:rPr>
                <w:b w:val="0"/>
                <w:sz w:val="17"/>
              </w:rPr>
              <w:t>0.178</w:t>
            </w:r>
          </w:p>
        </w:tc>
        <w:tc>
          <w:tcPr>
            <w:tcW w:type="dxa" w:w="576"/>
          </w:tcPr>
          <w:p>
            <w:r>
              <w:rPr>
                <w:b w:val="0"/>
                <w:sz w:val="17"/>
              </w:rPr>
              <w:t>-0.51</w:t>
            </w:r>
          </w:p>
        </w:tc>
        <w:tc>
          <w:tcPr>
            <w:tcW w:type="dxa" w:w="576"/>
          </w:tcPr>
          <w:p>
            <w:r>
              <w:rPr>
                <w:b w:val="0"/>
                <w:sz w:val="17"/>
              </w:rPr>
              <w:t>-4.714</w:t>
            </w:r>
          </w:p>
        </w:tc>
        <w:tc>
          <w:tcPr>
            <w:tcW w:type="dxa" w:w="576"/>
          </w:tcPr>
          <w:p>
            <w:r>
              <w:rPr>
                <w:b w:val="0"/>
                <w:sz w:val="17"/>
              </w:rPr>
              <w:t>-15.97</w:t>
            </w:r>
          </w:p>
        </w:tc>
      </w:tr>
      <w:tr>
        <w:tc>
          <w:tcPr>
            <w:tcW w:type="dxa" w:w="576"/>
          </w:tcPr>
          <w:p>
            <w:r>
              <w:rPr>
                <w:b w:val="0"/>
                <w:sz w:val="17"/>
              </w:rPr>
              <w:t>isorhamnetin</w:t>
            </w:r>
          </w:p>
        </w:tc>
        <w:tc>
          <w:tcPr>
            <w:tcW w:type="dxa" w:w="576"/>
          </w:tcPr>
          <w:p>
            <w:r>
              <w:rPr>
                <w:b w:val="0"/>
                <w:sz w:val="17"/>
              </w:rPr>
              <w:t>C16H12O7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-6.009</w:t>
            </w:r>
          </w:p>
        </w:tc>
        <w:tc>
          <w:tcPr>
            <w:tcW w:type="dxa" w:w="576"/>
          </w:tcPr>
          <w:p>
            <w:r>
              <w:rPr>
                <w:b w:val="0"/>
                <w:sz w:val="17"/>
              </w:rPr>
              <w:t>-1.91</w:t>
            </w:r>
          </w:p>
        </w:tc>
        <w:tc>
          <w:tcPr>
            <w:tcW w:type="dxa" w:w="576"/>
          </w:tcPr>
          <w:p>
            <w:r>
              <w:rPr>
                <w:b w:val="0"/>
                <w:sz w:val="17"/>
              </w:rPr>
              <w:t>4.099</w:t>
            </w:r>
          </w:p>
        </w:tc>
        <w:tc>
          <w:tcPr>
            <w:tcW w:type="dxa" w:w="576"/>
          </w:tcPr>
          <w:p>
            <w:r>
              <w:rPr>
                <w:b w:val="0"/>
                <w:sz w:val="17"/>
              </w:rPr>
              <w:t>2.049</w:t>
            </w:r>
          </w:p>
        </w:tc>
        <w:tc>
          <w:tcPr>
            <w:tcW w:type="dxa" w:w="576"/>
          </w:tcPr>
          <w:p>
            <w:r>
              <w:rPr>
                <w:b w:val="0"/>
                <w:sz w:val="17"/>
              </w:rPr>
              <w:t>0.488</w:t>
            </w:r>
          </w:p>
        </w:tc>
        <w:tc>
          <w:tcPr>
            <w:tcW w:type="dxa" w:w="576"/>
          </w:tcPr>
          <w:p>
            <w:r>
              <w:rPr>
                <w:b w:val="0"/>
                <w:sz w:val="17"/>
              </w:rPr>
              <w:t>3.959</w:t>
            </w:r>
          </w:p>
        </w:tc>
        <w:tc>
          <w:tcPr>
            <w:tcW w:type="dxa" w:w="576"/>
          </w:tcPr>
          <w:p>
            <w:r>
              <w:rPr>
                <w:b w:val="0"/>
                <w:sz w:val="17"/>
              </w:rPr>
              <w:t>3.824</w:t>
            </w:r>
          </w:p>
        </w:tc>
        <w:tc>
          <w:tcPr>
            <w:tcW w:type="dxa" w:w="576"/>
          </w:tcPr>
          <w:p>
            <w:r>
              <w:rPr>
                <w:b w:val="0"/>
                <w:sz w:val="17"/>
              </w:rPr>
              <w:t>0.21</w:t>
            </w:r>
          </w:p>
        </w:tc>
        <w:tc>
          <w:tcPr>
            <w:tcW w:type="dxa" w:w="576"/>
          </w:tcPr>
          <w:p>
            <w:r>
              <w:rPr>
                <w:b w:val="0"/>
                <w:sz w:val="17"/>
              </w:rPr>
              <w:t>-0.512</w:t>
            </w:r>
          </w:p>
        </w:tc>
        <w:tc>
          <w:tcPr>
            <w:tcW w:type="dxa" w:w="576"/>
          </w:tcPr>
          <w:p>
            <w:r>
              <w:rPr>
                <w:b w:val="0"/>
                <w:sz w:val="17"/>
              </w:rPr>
              <w:t>-5.525</w:t>
            </w:r>
          </w:p>
        </w:tc>
        <w:tc>
          <w:tcPr>
            <w:tcW w:type="dxa" w:w="576"/>
          </w:tcPr>
          <w:p>
            <w:r>
              <w:rPr>
                <w:b w:val="0"/>
                <w:sz w:val="17"/>
              </w:rPr>
              <w:t>-16.74</w:t>
            </w:r>
          </w:p>
        </w:tc>
      </w:tr>
    </w:tbl>
    <w:p>
      <w:pPr>
        <w:pStyle w:val="Heading2"/>
      </w:pPr>
      <w:r>
        <w:t>3.3 Geometry refinement (FF vs DFT-optimised)</w:t>
      </w:r>
    </w:p>
    <w:p>
      <w:pPr>
        <w:jc w:val="center"/>
      </w:pPr>
      <w:r>
        <w:drawing>
          <wp:inline xmlns:a="http://schemas.openxmlformats.org/drawingml/2006/main" xmlns:pic="http://schemas.openxmlformats.org/drawingml/2006/picture">
            <wp:extent cx="5212080" cy="1581658"/>
            <wp:docPr id="12" name="Picture 12"/>
            <wp:cNvGraphicFramePr>
              <a:graphicFrameLocks noChangeAspect="1"/>
            </wp:cNvGraphicFramePr>
            <a:graphic>
              <a:graphicData uri="http://schemas.openxmlformats.org/drawingml/2006/picture">
                <pic:pic>
                  <pic:nvPicPr>
                    <pic:cNvPr id="0" name="fig8_geometry_comparison.png"/>
                    <pic:cNvPicPr/>
                  </pic:nvPicPr>
                  <pic:blipFill>
                    <a:blip r:embed="rId20"/>
                    <a:stretch>
                      <a:fillRect/>
                    </a:stretch>
                  </pic:blipFill>
                  <pic:spPr>
                    <a:xfrm>
                      <a:off x="0" y="0"/>
                      <a:ext cx="5212080" cy="1581658"/>
                    </a:xfrm>
                    <a:prstGeom prst="rect"/>
                  </pic:spPr>
                </pic:pic>
              </a:graphicData>
            </a:graphic>
          </wp:inline>
        </w:drawing>
      </w:r>
    </w:p>
    <w:p>
      <w:pPr>
        <w:jc w:val="center"/>
      </w:pPr>
      <w:r>
        <w:rPr>
          <w:i/>
          <w:color w:val="718096"/>
          <w:sz w:val="16"/>
        </w:rPr>
        <w:t>Force-field vs DFT-optimised geometry</w:t>
      </w:r>
    </w:p>
    <w:p>
      <w:r>
        <w:rPr>
          <w:b w:val="0"/>
          <w:sz w:val="20"/>
        </w:rPr>
        <w:t>Descriptors on force-field vs DFT-optimised geometries. Relaxing each structure at B3LYP/6-31G(d) lowers the gap (~0.4–0.5 eV) and hardness and raises ΔN, but leaves both the gap and ΔN rankings unchanged — the lead assignments are geometry-robust.</w:t>
      </w:r>
    </w:p>
    <w:p>
      <w:pPr>
        <w:pStyle w:val="Heading2"/>
      </w:pPr>
      <w:r>
        <w:t>3.4 Optimised-geometry descriptors (DFT-relaxed)</w:t>
      </w:r>
    </w:p>
    <w:p>
      <w:r>
        <w:rPr>
          <w:b w:val="0"/>
        </w:rPr>
        <w:t>Descriptors on DFT-optimised geometries; the ranking is unchanged — the lead is geometry-robust.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name</w:t>
            </w:r>
          </w:p>
        </w:tc>
        <w:tc>
          <w:tcPr>
            <w:tcW w:type="dxa" w:w="1234"/>
          </w:tcPr>
          <w:p>
            <w:r>
              <w:rPr>
                <w:b/>
                <w:sz w:val="17"/>
              </w:rPr>
              <w:t>gap_ev</w:t>
            </w:r>
          </w:p>
        </w:tc>
        <w:tc>
          <w:tcPr>
            <w:tcW w:type="dxa" w:w="1234"/>
          </w:tcPr>
          <w:p>
            <w:r>
              <w:rPr>
                <w:b/>
                <w:sz w:val="17"/>
              </w:rPr>
              <w:t>hardness_ev</w:t>
            </w:r>
          </w:p>
        </w:tc>
        <w:tc>
          <w:tcPr>
            <w:tcW w:type="dxa" w:w="1234"/>
          </w:tcPr>
          <w:p>
            <w:r>
              <w:rPr>
                <w:b/>
                <w:sz w:val="17"/>
              </w:rPr>
              <w:t>softness_inv_ev</w:t>
            </w:r>
          </w:p>
        </w:tc>
        <w:tc>
          <w:tcPr>
            <w:tcW w:type="dxa" w:w="1234"/>
          </w:tcPr>
          <w:p>
            <w:r>
              <w:rPr>
                <w:b/>
                <w:sz w:val="17"/>
              </w:rPr>
              <w:t>delta_n</w:t>
            </w:r>
          </w:p>
        </w:tc>
        <w:tc>
          <w:tcPr>
            <w:tcW w:type="dxa" w:w="1234"/>
          </w:tcPr>
          <w:p>
            <w:r>
              <w:rPr>
                <w:b/>
                <w:sz w:val="17"/>
              </w:rPr>
              <w:t>tnc</w:t>
            </w:r>
          </w:p>
        </w:tc>
        <w:tc>
          <w:tcPr>
            <w:tcW w:type="dxa" w:w="1234"/>
          </w:tcPr>
          <w:p>
            <w:r>
              <w:rPr>
                <w:b/>
                <w:sz w:val="17"/>
              </w:rPr>
              <w:t>score</w:t>
            </w:r>
          </w:p>
        </w:tc>
      </w:tr>
      <w:tr>
        <w:tc>
          <w:tcPr>
            <w:tcW w:type="dxa" w:w="1234"/>
          </w:tcPr>
          <w:p>
            <w:r>
              <w:rPr>
                <w:b/>
                <w:sz w:val="17"/>
              </w:rPr>
              <w:t>quercetin</w:t>
            </w:r>
          </w:p>
        </w:tc>
        <w:tc>
          <w:tcPr>
            <w:tcW w:type="dxa" w:w="1234"/>
          </w:tcPr>
          <w:p>
            <w:r>
              <w:rPr>
                <w:b/>
                <w:sz w:val="17"/>
              </w:rPr>
              <w:t>3.604</w:t>
            </w:r>
          </w:p>
        </w:tc>
        <w:tc>
          <w:tcPr>
            <w:tcW w:type="dxa" w:w="1234"/>
          </w:tcPr>
          <w:p>
            <w:r>
              <w:rPr>
                <w:b/>
                <w:sz w:val="17"/>
              </w:rPr>
              <w:t>1.802</w:t>
            </w:r>
          </w:p>
        </w:tc>
        <w:tc>
          <w:tcPr>
            <w:tcW w:type="dxa" w:w="1234"/>
          </w:tcPr>
          <w:p>
            <w:r>
              <w:rPr>
                <w:b/>
                <w:sz w:val="17"/>
              </w:rPr>
              <w:t>0.555</w:t>
            </w:r>
          </w:p>
        </w:tc>
        <w:tc>
          <w:tcPr>
            <w:tcW w:type="dxa" w:w="1234"/>
          </w:tcPr>
          <w:p>
            <w:r>
              <w:rPr>
                <w:b/>
                <w:sz w:val="17"/>
              </w:rPr>
              <w:t>0.197</w:t>
            </w:r>
          </w:p>
        </w:tc>
        <w:tc>
          <w:tcPr>
            <w:tcW w:type="dxa" w:w="1234"/>
          </w:tcPr>
          <w:p>
            <w:r>
              <w:rPr>
                <w:b/>
                <w:sz w:val="17"/>
              </w:rPr>
              <w:t>-6.552</w:t>
            </w:r>
          </w:p>
        </w:tc>
        <w:tc>
          <w:tcPr>
            <w:tcW w:type="dxa" w:w="1234"/>
          </w:tcPr>
          <w:p>
            <w:r>
              <w:rPr>
                <w:b/>
                <w:sz w:val="17"/>
              </w:rPr>
              <w:t>1.413</w:t>
            </w:r>
          </w:p>
        </w:tc>
      </w:tr>
      <w:tr>
        <w:tc>
          <w:tcPr>
            <w:tcW w:type="dxa" w:w="1234"/>
          </w:tcPr>
          <w:p>
            <w:r>
              <w:rPr>
                <w:b w:val="0"/>
                <w:sz w:val="17"/>
              </w:rPr>
              <w:t>isorhamnetin</w:t>
            </w:r>
          </w:p>
        </w:tc>
        <w:tc>
          <w:tcPr>
            <w:tcW w:type="dxa" w:w="1234"/>
          </w:tcPr>
          <w:p>
            <w:r>
              <w:rPr>
                <w:b w:val="0"/>
                <w:sz w:val="17"/>
              </w:rPr>
              <w:t>3.687</w:t>
            </w:r>
          </w:p>
        </w:tc>
        <w:tc>
          <w:tcPr>
            <w:tcW w:type="dxa" w:w="1234"/>
          </w:tcPr>
          <w:p>
            <w:r>
              <w:rPr>
                <w:b w:val="0"/>
                <w:sz w:val="17"/>
              </w:rPr>
              <w:t>1.843</w:t>
            </w:r>
          </w:p>
        </w:tc>
        <w:tc>
          <w:tcPr>
            <w:tcW w:type="dxa" w:w="1234"/>
          </w:tcPr>
          <w:p>
            <w:r>
              <w:rPr>
                <w:b w:val="0"/>
                <w:sz w:val="17"/>
              </w:rPr>
              <w:t>0.542</w:t>
            </w:r>
          </w:p>
        </w:tc>
        <w:tc>
          <w:tcPr>
            <w:tcW w:type="dxa" w:w="1234"/>
          </w:tcPr>
          <w:p>
            <w:r>
              <w:rPr>
                <w:b w:val="0"/>
                <w:sz w:val="17"/>
              </w:rPr>
              <w:t>0.233</w:t>
            </w:r>
          </w:p>
        </w:tc>
        <w:tc>
          <w:tcPr>
            <w:tcW w:type="dxa" w:w="1234"/>
          </w:tcPr>
          <w:p>
            <w:r>
              <w:rPr>
                <w:b w:val="0"/>
                <w:sz w:val="17"/>
              </w:rPr>
              <w:t>-6.85</w:t>
            </w:r>
          </w:p>
        </w:tc>
        <w:tc>
          <w:tcPr>
            <w:tcW w:type="dxa" w:w="1234"/>
          </w:tcPr>
          <w:p>
            <w:r>
              <w:rPr>
                <w:b w:val="0"/>
                <w:sz w:val="17"/>
              </w:rPr>
              <w:t>-0.665</w:t>
            </w:r>
          </w:p>
        </w:tc>
      </w:tr>
      <w:tr>
        <w:tc>
          <w:tcPr>
            <w:tcW w:type="dxa" w:w="1234"/>
          </w:tcPr>
          <w:p>
            <w:r>
              <w:rPr>
                <w:b w:val="0"/>
                <w:sz w:val="17"/>
              </w:rPr>
              <w:t>kaempferol</w:t>
            </w:r>
          </w:p>
        </w:tc>
        <w:tc>
          <w:tcPr>
            <w:tcW w:type="dxa" w:w="1234"/>
          </w:tcPr>
          <w:p>
            <w:r>
              <w:rPr>
                <w:b w:val="0"/>
                <w:sz w:val="17"/>
              </w:rPr>
              <w:t>3.69</w:t>
            </w:r>
          </w:p>
        </w:tc>
        <w:tc>
          <w:tcPr>
            <w:tcW w:type="dxa" w:w="1234"/>
          </w:tcPr>
          <w:p>
            <w:r>
              <w:rPr>
                <w:b w:val="0"/>
                <w:sz w:val="17"/>
              </w:rPr>
              <w:t>1.845</w:t>
            </w:r>
          </w:p>
        </w:tc>
        <w:tc>
          <w:tcPr>
            <w:tcW w:type="dxa" w:w="1234"/>
          </w:tcPr>
          <w:p>
            <w:r>
              <w:rPr>
                <w:b w:val="0"/>
                <w:sz w:val="17"/>
              </w:rPr>
              <w:t>0.542</w:t>
            </w:r>
          </w:p>
        </w:tc>
        <w:tc>
          <w:tcPr>
            <w:tcW w:type="dxa" w:w="1234"/>
          </w:tcPr>
          <w:p>
            <w:r>
              <w:rPr>
                <w:b w:val="0"/>
                <w:sz w:val="17"/>
              </w:rPr>
              <w:t>0.188</w:t>
            </w:r>
          </w:p>
        </w:tc>
        <w:tc>
          <w:tcPr>
            <w:tcW w:type="dxa" w:w="1234"/>
          </w:tcPr>
          <w:p>
            <w:r>
              <w:rPr>
                <w:b w:val="0"/>
                <w:sz w:val="17"/>
              </w:rPr>
              <w:t>-6.092</w:t>
            </w:r>
          </w:p>
        </w:tc>
        <w:tc>
          <w:tcPr>
            <w:tcW w:type="dxa" w:w="1234"/>
          </w:tcPr>
          <w:p>
            <w:r>
              <w:rPr>
                <w:b w:val="0"/>
                <w:sz w:val="17"/>
              </w:rPr>
              <w:t>-0.748</w:t>
            </w:r>
          </w:p>
        </w:tc>
      </w:tr>
    </w:tbl>
    <w:p>
      <w:pPr>
        <w:pStyle w:val="Heading3"/>
      </w:pPr>
      <w:r>
        <w:t>Optimised protonated cations (in-acid)</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-6.601</w:t>
            </w:r>
          </w:p>
        </w:tc>
        <w:tc>
          <w:tcPr>
            <w:tcW w:type="dxa" w:w="617"/>
          </w:tcPr>
          <w:p>
            <w:r>
              <w:rPr>
                <w:b w:val="0"/>
                <w:sz w:val="17"/>
              </w:rPr>
              <w:t>-3.188</w:t>
            </w:r>
          </w:p>
        </w:tc>
        <w:tc>
          <w:tcPr>
            <w:tcW w:type="dxa" w:w="617"/>
          </w:tcPr>
          <w:p>
            <w:r>
              <w:rPr>
                <w:b w:val="0"/>
                <w:sz w:val="17"/>
              </w:rPr>
              <w:t>3.413</w:t>
            </w:r>
          </w:p>
        </w:tc>
        <w:tc>
          <w:tcPr>
            <w:tcW w:type="dxa" w:w="617"/>
          </w:tcPr>
          <w:p>
            <w:r>
              <w:rPr>
                <w:b w:val="0"/>
                <w:sz w:val="17"/>
              </w:rPr>
              <w:t>1.707</w:t>
            </w:r>
          </w:p>
        </w:tc>
        <w:tc>
          <w:tcPr>
            <w:tcW w:type="dxa" w:w="617"/>
          </w:tcPr>
          <w:p>
            <w:r>
              <w:rPr>
                <w:b w:val="0"/>
                <w:sz w:val="17"/>
              </w:rPr>
              <w:t>0.586</w:t>
            </w:r>
          </w:p>
        </w:tc>
        <w:tc>
          <w:tcPr>
            <w:tcW w:type="dxa" w:w="617"/>
          </w:tcPr>
          <w:p>
            <w:r>
              <w:rPr>
                <w:b w:val="0"/>
                <w:sz w:val="17"/>
              </w:rPr>
              <w:t>4.894</w:t>
            </w:r>
          </w:p>
        </w:tc>
        <w:tc>
          <w:tcPr>
            <w:tcW w:type="dxa" w:w="617"/>
          </w:tcPr>
          <w:p>
            <w:r>
              <w:rPr>
                <w:b w:val="0"/>
                <w:sz w:val="17"/>
              </w:rPr>
              <w:t>7.018</w:t>
            </w:r>
          </w:p>
        </w:tc>
        <w:tc>
          <w:tcPr>
            <w:tcW w:type="dxa" w:w="617"/>
          </w:tcPr>
          <w:p>
            <w:r>
              <w:rPr>
                <w:b w:val="0"/>
                <w:sz w:val="17"/>
              </w:rPr>
              <w:t>-0.022</w:t>
            </w:r>
          </w:p>
        </w:tc>
        <w:tc>
          <w:tcPr>
            <w:tcW w:type="dxa" w:w="617"/>
          </w:tcPr>
          <w:p>
            <w:r>
              <w:rPr>
                <w:b w:val="0"/>
                <w:sz w:val="17"/>
              </w:rPr>
              <w:t>-0.427</w:t>
            </w:r>
          </w:p>
        </w:tc>
        <w:tc>
          <w:tcPr>
            <w:tcW w:type="dxa" w:w="617"/>
          </w:tcPr>
          <w:p>
            <w:r>
              <w:rPr>
                <w:b w:val="0"/>
                <w:sz w:val="17"/>
              </w:rPr>
              <w:t>-4.205</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-6.477</w:t>
            </w:r>
          </w:p>
        </w:tc>
        <w:tc>
          <w:tcPr>
            <w:tcW w:type="dxa" w:w="617"/>
          </w:tcPr>
          <w:p>
            <w:r>
              <w:rPr>
                <w:b w:val="0"/>
                <w:sz w:val="17"/>
              </w:rPr>
              <w:t>-3.214</w:t>
            </w:r>
          </w:p>
        </w:tc>
        <w:tc>
          <w:tcPr>
            <w:tcW w:type="dxa" w:w="617"/>
          </w:tcPr>
          <w:p>
            <w:r>
              <w:rPr>
                <w:b w:val="0"/>
                <w:sz w:val="17"/>
              </w:rPr>
              <w:t>3.263</w:t>
            </w:r>
          </w:p>
        </w:tc>
        <w:tc>
          <w:tcPr>
            <w:tcW w:type="dxa" w:w="617"/>
          </w:tcPr>
          <w:p>
            <w:r>
              <w:rPr>
                <w:b w:val="0"/>
                <w:sz w:val="17"/>
              </w:rPr>
              <w:t>1.631</w:t>
            </w:r>
          </w:p>
        </w:tc>
        <w:tc>
          <w:tcPr>
            <w:tcW w:type="dxa" w:w="617"/>
          </w:tcPr>
          <w:p>
            <w:r>
              <w:rPr>
                <w:b w:val="0"/>
                <w:sz w:val="17"/>
              </w:rPr>
              <w:t>0.613</w:t>
            </w:r>
          </w:p>
        </w:tc>
        <w:tc>
          <w:tcPr>
            <w:tcW w:type="dxa" w:w="617"/>
          </w:tcPr>
          <w:p>
            <w:r>
              <w:rPr>
                <w:b w:val="0"/>
                <w:sz w:val="17"/>
              </w:rPr>
              <w:t>4.846</w:t>
            </w:r>
          </w:p>
        </w:tc>
        <w:tc>
          <w:tcPr>
            <w:tcW w:type="dxa" w:w="617"/>
          </w:tcPr>
          <w:p>
            <w:r>
              <w:rPr>
                <w:b w:val="0"/>
                <w:sz w:val="17"/>
              </w:rPr>
              <w:t>7.196</w:t>
            </w:r>
          </w:p>
        </w:tc>
        <w:tc>
          <w:tcPr>
            <w:tcW w:type="dxa" w:w="617"/>
          </w:tcPr>
          <w:p>
            <w:r>
              <w:rPr>
                <w:b w:val="0"/>
                <w:sz w:val="17"/>
              </w:rPr>
              <w:t>-0.008</w:t>
            </w:r>
          </w:p>
        </w:tc>
        <w:tc>
          <w:tcPr>
            <w:tcW w:type="dxa" w:w="617"/>
          </w:tcPr>
          <w:p>
            <w:r>
              <w:rPr>
                <w:b w:val="0"/>
                <w:sz w:val="17"/>
              </w:rPr>
              <w:t>-0.408</w:t>
            </w:r>
          </w:p>
        </w:tc>
        <w:tc>
          <w:tcPr>
            <w:tcW w:type="dxa" w:w="617"/>
          </w:tcPr>
          <w:p>
            <w:r>
              <w:rPr>
                <w:b w:val="0"/>
                <w:sz w:val="17"/>
              </w:rPr>
              <w:t>-4.754</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-6.269</w:t>
            </w:r>
          </w:p>
        </w:tc>
        <w:tc>
          <w:tcPr>
            <w:tcW w:type="dxa" w:w="617"/>
          </w:tcPr>
          <w:p>
            <w:r>
              <w:rPr>
                <w:b w:val="0"/>
                <w:sz w:val="17"/>
              </w:rPr>
              <w:t>-3.261</w:t>
            </w:r>
          </w:p>
        </w:tc>
        <w:tc>
          <w:tcPr>
            <w:tcW w:type="dxa" w:w="617"/>
          </w:tcPr>
          <w:p>
            <w:r>
              <w:rPr>
                <w:b w:val="0"/>
                <w:sz w:val="17"/>
              </w:rPr>
              <w:t>3.008</w:t>
            </w:r>
          </w:p>
        </w:tc>
        <w:tc>
          <w:tcPr>
            <w:tcW w:type="dxa" w:w="617"/>
          </w:tcPr>
          <w:p>
            <w:r>
              <w:rPr>
                <w:b w:val="0"/>
                <w:sz w:val="17"/>
              </w:rPr>
              <w:t>1.504</w:t>
            </w:r>
          </w:p>
        </w:tc>
        <w:tc>
          <w:tcPr>
            <w:tcW w:type="dxa" w:w="617"/>
          </w:tcPr>
          <w:p>
            <w:r>
              <w:rPr>
                <w:b w:val="0"/>
                <w:sz w:val="17"/>
              </w:rPr>
              <w:t>0.665</w:t>
            </w:r>
          </w:p>
        </w:tc>
        <w:tc>
          <w:tcPr>
            <w:tcW w:type="dxa" w:w="617"/>
          </w:tcPr>
          <w:p>
            <w:r>
              <w:rPr>
                <w:b w:val="0"/>
                <w:sz w:val="17"/>
              </w:rPr>
              <w:t>4.765</w:t>
            </w:r>
          </w:p>
        </w:tc>
        <w:tc>
          <w:tcPr>
            <w:tcW w:type="dxa" w:w="617"/>
          </w:tcPr>
          <w:p>
            <w:r>
              <w:rPr>
                <w:b w:val="0"/>
                <w:sz w:val="17"/>
              </w:rPr>
              <w:t>7.547</w:t>
            </w:r>
          </w:p>
        </w:tc>
        <w:tc>
          <w:tcPr>
            <w:tcW w:type="dxa" w:w="617"/>
          </w:tcPr>
          <w:p>
            <w:r>
              <w:rPr>
                <w:b w:val="0"/>
                <w:sz w:val="17"/>
              </w:rPr>
              <w:t>0.018</w:t>
            </w:r>
          </w:p>
        </w:tc>
        <w:tc>
          <w:tcPr>
            <w:tcW w:type="dxa" w:w="617"/>
          </w:tcPr>
          <w:p>
            <w:r>
              <w:rPr>
                <w:b w:val="0"/>
                <w:sz w:val="17"/>
              </w:rPr>
              <w:t>-0.376</w:t>
            </w:r>
          </w:p>
        </w:tc>
        <w:tc>
          <w:tcPr>
            <w:tcW w:type="dxa" w:w="617"/>
          </w:tcPr>
          <w:p>
            <w:r>
              <w:rPr>
                <w:b w:val="0"/>
                <w:sz w:val="17"/>
              </w:rPr>
              <w:t>-7.044</w:t>
            </w:r>
          </w:p>
        </w:tc>
      </w:tr>
    </w:tbl>
    <w:p>
      <w:pPr>
        <w:pStyle w:val="Heading2"/>
      </w:pPr>
      <w:r>
        <w:t>3.5 Species in the acidic medium (protonated cation)</w:t>
      </w:r>
    </w:p>
    <w:p>
      <w:r>
        <w:rPr>
          <w:b w:val="0"/>
        </w:rPr>
        <w:t>In 1 M HCl the inhibitor is present largely as its +1 cation. The headline ranking uses the neutral form (ADR 0003); the protonated-cation descriptors are tabulated here for comparison.</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-6.881</w:t>
            </w:r>
          </w:p>
        </w:tc>
        <w:tc>
          <w:tcPr>
            <w:tcW w:type="dxa" w:w="617"/>
          </w:tcPr>
          <w:p>
            <w:r>
              <w:rPr>
                <w:b w:val="0"/>
                <w:sz w:val="17"/>
              </w:rPr>
              <w:t>-3.277</w:t>
            </w:r>
          </w:p>
        </w:tc>
        <w:tc>
          <w:tcPr>
            <w:tcW w:type="dxa" w:w="617"/>
          </w:tcPr>
          <w:p>
            <w:r>
              <w:rPr>
                <w:b w:val="0"/>
                <w:sz w:val="17"/>
              </w:rPr>
              <w:t>3.604</w:t>
            </w:r>
          </w:p>
        </w:tc>
        <w:tc>
          <w:tcPr>
            <w:tcW w:type="dxa" w:w="617"/>
          </w:tcPr>
          <w:p>
            <w:r>
              <w:rPr>
                <w:b w:val="0"/>
                <w:sz w:val="17"/>
              </w:rPr>
              <w:t>1.802</w:t>
            </w:r>
          </w:p>
        </w:tc>
        <w:tc>
          <w:tcPr>
            <w:tcW w:type="dxa" w:w="617"/>
          </w:tcPr>
          <w:p>
            <w:r>
              <w:rPr>
                <w:b w:val="0"/>
                <w:sz w:val="17"/>
              </w:rPr>
              <w:t>0.555</w:t>
            </w:r>
          </w:p>
        </w:tc>
        <w:tc>
          <w:tcPr>
            <w:tcW w:type="dxa" w:w="617"/>
          </w:tcPr>
          <w:p>
            <w:r>
              <w:rPr>
                <w:b w:val="0"/>
                <w:sz w:val="17"/>
              </w:rPr>
              <w:t>5.079</w:t>
            </w:r>
          </w:p>
        </w:tc>
        <w:tc>
          <w:tcPr>
            <w:tcW w:type="dxa" w:w="617"/>
          </w:tcPr>
          <w:p>
            <w:r>
              <w:rPr>
                <w:b w:val="0"/>
                <w:sz w:val="17"/>
              </w:rPr>
              <w:t>7.157</w:t>
            </w:r>
          </w:p>
        </w:tc>
        <w:tc>
          <w:tcPr>
            <w:tcW w:type="dxa" w:w="617"/>
          </w:tcPr>
          <w:p>
            <w:r>
              <w:rPr>
                <w:b w:val="0"/>
                <w:sz w:val="17"/>
              </w:rPr>
              <w:t>-0.072</w:t>
            </w:r>
          </w:p>
        </w:tc>
        <w:tc>
          <w:tcPr>
            <w:tcW w:type="dxa" w:w="617"/>
          </w:tcPr>
          <w:p>
            <w:r>
              <w:rPr>
                <w:b w:val="0"/>
                <w:sz w:val="17"/>
              </w:rPr>
              <w:t>-0.451</w:t>
            </w:r>
          </w:p>
        </w:tc>
        <w:tc>
          <w:tcPr>
            <w:tcW w:type="dxa" w:w="617"/>
          </w:tcPr>
          <w:p>
            <w:r>
              <w:rPr>
                <w:b w:val="0"/>
                <w:sz w:val="17"/>
              </w:rPr>
              <w:t>-4.014</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-6.668</w:t>
            </w:r>
          </w:p>
        </w:tc>
        <w:tc>
          <w:tcPr>
            <w:tcW w:type="dxa" w:w="617"/>
          </w:tcPr>
          <w:p>
            <w:r>
              <w:rPr>
                <w:b w:val="0"/>
                <w:sz w:val="17"/>
              </w:rPr>
              <w:t>-3.324</w:t>
            </w:r>
          </w:p>
        </w:tc>
        <w:tc>
          <w:tcPr>
            <w:tcW w:type="dxa" w:w="617"/>
          </w:tcPr>
          <w:p>
            <w:r>
              <w:rPr>
                <w:b w:val="0"/>
                <w:sz w:val="17"/>
              </w:rPr>
              <w:t>3.344</w:t>
            </w:r>
          </w:p>
        </w:tc>
        <w:tc>
          <w:tcPr>
            <w:tcW w:type="dxa" w:w="617"/>
          </w:tcPr>
          <w:p>
            <w:r>
              <w:rPr>
                <w:b w:val="0"/>
                <w:sz w:val="17"/>
              </w:rPr>
              <w:t>1.672</w:t>
            </w:r>
          </w:p>
        </w:tc>
        <w:tc>
          <w:tcPr>
            <w:tcW w:type="dxa" w:w="617"/>
          </w:tcPr>
          <w:p>
            <w:r>
              <w:rPr>
                <w:b w:val="0"/>
                <w:sz w:val="17"/>
              </w:rPr>
              <w:t>0.598</w:t>
            </w:r>
          </w:p>
        </w:tc>
        <w:tc>
          <w:tcPr>
            <w:tcW w:type="dxa" w:w="617"/>
          </w:tcPr>
          <w:p>
            <w:r>
              <w:rPr>
                <w:b w:val="0"/>
                <w:sz w:val="17"/>
              </w:rPr>
              <w:t>4.996</w:t>
            </w:r>
          </w:p>
        </w:tc>
        <w:tc>
          <w:tcPr>
            <w:tcW w:type="dxa" w:w="617"/>
          </w:tcPr>
          <w:p>
            <w:r>
              <w:rPr>
                <w:b w:val="0"/>
                <w:sz w:val="17"/>
              </w:rPr>
              <w:t>7.465</w:t>
            </w:r>
          </w:p>
        </w:tc>
        <w:tc>
          <w:tcPr>
            <w:tcW w:type="dxa" w:w="617"/>
          </w:tcPr>
          <w:p>
            <w:r>
              <w:rPr>
                <w:b w:val="0"/>
                <w:sz w:val="17"/>
              </w:rPr>
              <w:t>-0.053</w:t>
            </w:r>
          </w:p>
        </w:tc>
        <w:tc>
          <w:tcPr>
            <w:tcW w:type="dxa" w:w="617"/>
          </w:tcPr>
          <w:p>
            <w:r>
              <w:rPr>
                <w:b w:val="0"/>
                <w:sz w:val="17"/>
              </w:rPr>
              <w:t>-0.418</w:t>
            </w:r>
          </w:p>
        </w:tc>
        <w:tc>
          <w:tcPr>
            <w:tcW w:type="dxa" w:w="617"/>
          </w:tcPr>
          <w:p>
            <w:r>
              <w:rPr>
                <w:b w:val="0"/>
                <w:sz w:val="17"/>
              </w:rPr>
              <w:t>-4.438</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-6.427</w:t>
            </w:r>
          </w:p>
        </w:tc>
        <w:tc>
          <w:tcPr>
            <w:tcW w:type="dxa" w:w="617"/>
          </w:tcPr>
          <w:p>
            <w:r>
              <w:rPr>
                <w:b w:val="0"/>
                <w:sz w:val="17"/>
              </w:rPr>
              <w:t>-3.295</w:t>
            </w:r>
          </w:p>
        </w:tc>
        <w:tc>
          <w:tcPr>
            <w:tcW w:type="dxa" w:w="617"/>
          </w:tcPr>
          <w:p>
            <w:r>
              <w:rPr>
                <w:b w:val="0"/>
                <w:sz w:val="17"/>
              </w:rPr>
              <w:t>3.132</w:t>
            </w:r>
          </w:p>
        </w:tc>
        <w:tc>
          <w:tcPr>
            <w:tcW w:type="dxa" w:w="617"/>
          </w:tcPr>
          <w:p>
            <w:r>
              <w:rPr>
                <w:b w:val="0"/>
                <w:sz w:val="17"/>
              </w:rPr>
              <w:t>1.566</w:t>
            </w:r>
          </w:p>
        </w:tc>
        <w:tc>
          <w:tcPr>
            <w:tcW w:type="dxa" w:w="617"/>
          </w:tcPr>
          <w:p>
            <w:r>
              <w:rPr>
                <w:b w:val="0"/>
                <w:sz w:val="17"/>
              </w:rPr>
              <w:t>0.639</w:t>
            </w:r>
          </w:p>
        </w:tc>
        <w:tc>
          <w:tcPr>
            <w:tcW w:type="dxa" w:w="617"/>
          </w:tcPr>
          <w:p>
            <w:r>
              <w:rPr>
                <w:b w:val="0"/>
                <w:sz w:val="17"/>
              </w:rPr>
              <w:t>4.861</w:t>
            </w:r>
          </w:p>
        </w:tc>
        <w:tc>
          <w:tcPr>
            <w:tcW w:type="dxa" w:w="617"/>
          </w:tcPr>
          <w:p>
            <w:r>
              <w:rPr>
                <w:b w:val="0"/>
                <w:sz w:val="17"/>
              </w:rPr>
              <w:t>7.546</w:t>
            </w:r>
          </w:p>
        </w:tc>
        <w:tc>
          <w:tcPr>
            <w:tcW w:type="dxa" w:w="617"/>
          </w:tcPr>
          <w:p>
            <w:r>
              <w:rPr>
                <w:b w:val="0"/>
                <w:sz w:val="17"/>
              </w:rPr>
              <w:t>-0.013</w:t>
            </w:r>
          </w:p>
        </w:tc>
        <w:tc>
          <w:tcPr>
            <w:tcW w:type="dxa" w:w="617"/>
          </w:tcPr>
          <w:p>
            <w:r>
              <w:rPr>
                <w:b w:val="0"/>
                <w:sz w:val="17"/>
              </w:rPr>
              <w:t>-0.391</w:t>
            </w:r>
          </w:p>
        </w:tc>
        <w:tc>
          <w:tcPr>
            <w:tcW w:type="dxa" w:w="617"/>
          </w:tcPr>
          <w:p>
            <w:r>
              <w:rPr>
                <w:b w:val="0"/>
                <w:sz w:val="17"/>
              </w:rPr>
              <w:t>-4.993</w:t>
            </w:r>
          </w:p>
        </w:tc>
      </w:tr>
    </w:tbl>
    <w:p>
      <w:pPr>
        <w:pStyle w:val="Heading2"/>
      </w:pPr>
      <w:r>
        <w:t>3.6 Speciation in 1 M HCl (pH ≈ -0.0)</w:t>
      </w:r>
    </w:p>
    <w:p>
      <w:r>
        <w:rPr>
          <w:b w:val="0"/>
        </w:rPr>
        <w:t xml:space="preserve">The most basic site (4-oxo carbonyl, pKaH ≈ -1.5) is a very weak base, so by Henderson-Hasselbalch the inhibitor is </w:t>
      </w:r>
      <w:r>
        <w:rPr>
          <w:b/>
        </w:rPr>
        <w:t>97% neutral / 3% protonated</w:t>
      </w:r>
      <w:r>
        <w:rPr>
          <w:b w:val="0"/>
        </w:rPr>
        <w:t xml:space="preserve"> — the neutral form dominates, which is why the headline ranking uses the neutral form. Population-weighted lead: </w:t>
      </w:r>
      <w:r>
        <w:rPr>
          <w:b/>
        </w:rPr>
        <w:t>quercetin</w:t>
      </w:r>
      <w:r>
        <w:rPr>
          <w:b w:val="0"/>
        </w:rPr>
        <w:t>.</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w:t>
            </w:r>
          </w:p>
        </w:tc>
        <w:tc>
          <w:tcPr>
            <w:tcW w:type="dxa" w:w="617"/>
          </w:tcPr>
          <w:p>
            <w:r>
              <w:rPr>
                <w:b w:val="0"/>
                <w:sz w:val="17"/>
              </w:rPr>
              <w:t>C15H10O6</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-6.214</w:t>
            </w:r>
          </w:p>
        </w:tc>
        <w:tc>
          <w:tcPr>
            <w:tcW w:type="dxa" w:w="617"/>
          </w:tcPr>
          <w:p>
            <w:r>
              <w:rPr>
                <w:b w:val="0"/>
                <w:sz w:val="17"/>
              </w:rPr>
              <w:t>-2.085</w:t>
            </w:r>
          </w:p>
        </w:tc>
        <w:tc>
          <w:tcPr>
            <w:tcW w:type="dxa" w:w="617"/>
          </w:tcPr>
          <w:p>
            <w:r>
              <w:rPr>
                <w:b w:val="0"/>
                <w:sz w:val="17"/>
              </w:rPr>
              <w:t>4.129</w:t>
            </w:r>
          </w:p>
        </w:tc>
        <w:tc>
          <w:tcPr>
            <w:tcW w:type="dxa" w:w="617"/>
          </w:tcPr>
          <w:p>
            <w:r>
              <w:rPr>
                <w:b w:val="0"/>
                <w:sz w:val="17"/>
              </w:rPr>
              <w:t>2.064</w:t>
            </w:r>
          </w:p>
        </w:tc>
        <w:tc>
          <w:tcPr>
            <w:tcW w:type="dxa" w:w="617"/>
          </w:tcPr>
          <w:p>
            <w:r>
              <w:rPr>
                <w:b w:val="0"/>
                <w:sz w:val="17"/>
              </w:rPr>
              <w:t>0.485</w:t>
            </w:r>
          </w:p>
        </w:tc>
        <w:tc>
          <w:tcPr>
            <w:tcW w:type="dxa" w:w="617"/>
          </w:tcPr>
          <w:p>
            <w:r>
              <w:rPr>
                <w:b w:val="0"/>
                <w:sz w:val="17"/>
              </w:rPr>
              <w:t>4.149</w:t>
            </w:r>
          </w:p>
        </w:tc>
        <w:tc>
          <w:tcPr>
            <w:tcW w:type="dxa" w:w="617"/>
          </w:tcPr>
          <w:p>
            <w:r>
              <w:rPr>
                <w:b w:val="0"/>
                <w:sz w:val="17"/>
              </w:rPr>
              <w:t>4.188</w:t>
            </w:r>
          </w:p>
        </w:tc>
        <w:tc>
          <w:tcPr>
            <w:tcW w:type="dxa" w:w="617"/>
          </w:tcPr>
          <w:p>
            <w:r>
              <w:rPr>
                <w:b w:val="0"/>
                <w:sz w:val="17"/>
              </w:rPr>
              <w:t>0.162</w:t>
            </w:r>
          </w:p>
        </w:tc>
        <w:tc>
          <w:tcPr>
            <w:tcW w:type="dxa" w:w="617"/>
          </w:tcPr>
          <w:p>
            <w:r>
              <w:rPr>
                <w:b w:val="0"/>
                <w:sz w:val="17"/>
              </w:rPr>
              <w:t>-0.516</w:t>
            </w:r>
          </w:p>
        </w:tc>
        <w:tc>
          <w:tcPr>
            <w:tcW w:type="dxa" w:w="617"/>
          </w:tcPr>
          <w:p>
            <w:r>
              <w:rPr>
                <w:b w:val="0"/>
                <w:sz w:val="17"/>
              </w:rPr>
              <w:t>-4.41</w:t>
            </w:r>
          </w:p>
        </w:tc>
      </w:tr>
      <w:tr>
        <w:tc>
          <w:tcPr>
            <w:tcW w:type="dxa" w:w="617"/>
          </w:tcPr>
          <w:p>
            <w:r>
              <w:rPr>
                <w:b w:val="0"/>
                <w:sz w:val="17"/>
              </w:rPr>
              <w:t>quercetin</w:t>
            </w:r>
          </w:p>
        </w:tc>
        <w:tc>
          <w:tcPr>
            <w:tcW w:type="dxa" w:w="617"/>
          </w:tcPr>
          <w:p>
            <w:r>
              <w:rPr>
                <w:b w:val="0"/>
                <w:sz w:val="17"/>
              </w:rPr>
              <w:t>C15H10O7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-6.151</w:t>
            </w:r>
          </w:p>
        </w:tc>
        <w:tc>
          <w:tcPr>
            <w:tcW w:type="dxa" w:w="617"/>
          </w:tcPr>
          <w:p>
            <w:r>
              <w:rPr>
                <w:b w:val="0"/>
                <w:sz w:val="17"/>
              </w:rPr>
              <w:t>-2.091</w:t>
            </w:r>
          </w:p>
        </w:tc>
        <w:tc>
          <w:tcPr>
            <w:tcW w:type="dxa" w:w="617"/>
          </w:tcPr>
          <w:p>
            <w:r>
              <w:rPr>
                <w:b w:val="0"/>
                <w:sz w:val="17"/>
              </w:rPr>
              <w:t>4.06</w:t>
            </w:r>
          </w:p>
        </w:tc>
        <w:tc>
          <w:tcPr>
            <w:tcW w:type="dxa" w:w="617"/>
          </w:tcPr>
          <w:p>
            <w:r>
              <w:rPr>
                <w:b w:val="0"/>
                <w:sz w:val="17"/>
              </w:rPr>
              <w:t>2.03</w:t>
            </w:r>
          </w:p>
        </w:tc>
        <w:tc>
          <w:tcPr>
            <w:tcW w:type="dxa" w:w="617"/>
          </w:tcPr>
          <w:p>
            <w:r>
              <w:rPr>
                <w:b w:val="0"/>
                <w:sz w:val="17"/>
              </w:rPr>
              <w:t>0.493</w:t>
            </w:r>
          </w:p>
        </w:tc>
        <w:tc>
          <w:tcPr>
            <w:tcW w:type="dxa" w:w="617"/>
          </w:tcPr>
          <w:p>
            <w:r>
              <w:rPr>
                <w:b w:val="0"/>
                <w:sz w:val="17"/>
              </w:rPr>
              <w:t>4.121</w:t>
            </w:r>
          </w:p>
        </w:tc>
        <w:tc>
          <w:tcPr>
            <w:tcW w:type="dxa" w:w="617"/>
          </w:tcPr>
          <w:p>
            <w:r>
              <w:rPr>
                <w:b w:val="0"/>
                <w:sz w:val="17"/>
              </w:rPr>
              <w:t>4.207</w:t>
            </w:r>
          </w:p>
        </w:tc>
        <w:tc>
          <w:tcPr>
            <w:tcW w:type="dxa" w:w="617"/>
          </w:tcPr>
          <w:p>
            <w:r>
              <w:rPr>
                <w:b w:val="0"/>
                <w:sz w:val="17"/>
              </w:rPr>
              <w:t>0.171</w:t>
            </w:r>
          </w:p>
        </w:tc>
        <w:tc>
          <w:tcPr>
            <w:tcW w:type="dxa" w:w="617"/>
          </w:tcPr>
          <w:p>
            <w:r>
              <w:rPr>
                <w:b w:val="0"/>
                <w:sz w:val="17"/>
              </w:rPr>
              <w:t>-0.507</w:t>
            </w:r>
          </w:p>
        </w:tc>
        <w:tc>
          <w:tcPr>
            <w:tcW w:type="dxa" w:w="617"/>
          </w:tcPr>
          <w:p>
            <w:r>
              <w:rPr>
                <w:b w:val="0"/>
                <w:sz w:val="17"/>
              </w:rPr>
              <w:t>-4.705</w:t>
            </w:r>
          </w:p>
        </w:tc>
      </w:tr>
      <w:tr>
        <w:tc>
          <w:tcPr>
            <w:tcW w:type="dxa" w:w="617"/>
          </w:tcPr>
          <w:p>
            <w:r>
              <w:rPr>
                <w:b w:val="0"/>
                <w:sz w:val="17"/>
              </w:rPr>
              <w:t>isorhamnetin</w:t>
            </w:r>
          </w:p>
        </w:tc>
        <w:tc>
          <w:tcPr>
            <w:tcW w:type="dxa" w:w="617"/>
          </w:tcPr>
          <w:p>
            <w:r>
              <w:rPr>
                <w:b w:val="0"/>
                <w:sz w:val="17"/>
              </w:rPr>
              <w:t>C16H12O7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-6.022</w:t>
            </w:r>
          </w:p>
        </w:tc>
        <w:tc>
          <w:tcPr>
            <w:tcW w:type="dxa" w:w="617"/>
          </w:tcPr>
          <w:p>
            <w:r>
              <w:rPr>
                <w:b w:val="0"/>
                <w:sz w:val="17"/>
              </w:rPr>
              <w:t>-1.952</w:t>
            </w:r>
          </w:p>
        </w:tc>
        <w:tc>
          <w:tcPr>
            <w:tcW w:type="dxa" w:w="617"/>
          </w:tcPr>
          <w:p>
            <w:r>
              <w:rPr>
                <w:b w:val="0"/>
                <w:sz w:val="17"/>
              </w:rPr>
              <w:t>4.069</w:t>
            </w:r>
          </w:p>
        </w:tc>
        <w:tc>
          <w:tcPr>
            <w:tcW w:type="dxa" w:w="617"/>
          </w:tcPr>
          <w:p>
            <w:r>
              <w:rPr>
                <w:b w:val="0"/>
                <w:sz w:val="17"/>
              </w:rPr>
              <w:t>2.035</w:t>
            </w:r>
          </w:p>
        </w:tc>
        <w:tc>
          <w:tcPr>
            <w:tcW w:type="dxa" w:w="617"/>
          </w:tcPr>
          <w:p>
            <w:r>
              <w:rPr>
                <w:b w:val="0"/>
                <w:sz w:val="17"/>
              </w:rPr>
              <w:t>0.492</w:t>
            </w:r>
          </w:p>
        </w:tc>
        <w:tc>
          <w:tcPr>
            <w:tcW w:type="dxa" w:w="617"/>
          </w:tcPr>
          <w:p>
            <w:r>
              <w:rPr>
                <w:b w:val="0"/>
                <w:sz w:val="17"/>
              </w:rPr>
              <w:t>3.987</w:t>
            </w:r>
          </w:p>
        </w:tc>
        <w:tc>
          <w:tcPr>
            <w:tcW w:type="dxa" w:w="617"/>
          </w:tcPr>
          <w:p>
            <w:r>
              <w:rPr>
                <w:b w:val="0"/>
                <w:sz w:val="17"/>
              </w:rPr>
              <w:t>3.938</w:t>
            </w:r>
          </w:p>
        </w:tc>
        <w:tc>
          <w:tcPr>
            <w:tcW w:type="dxa" w:w="617"/>
          </w:tcPr>
          <w:p>
            <w:r>
              <w:rPr>
                <w:b w:val="0"/>
                <w:sz w:val="17"/>
              </w:rPr>
              <w:t>0.203</w:t>
            </w:r>
          </w:p>
        </w:tc>
        <w:tc>
          <w:tcPr>
            <w:tcW w:type="dxa" w:w="617"/>
          </w:tcPr>
          <w:p>
            <w:r>
              <w:rPr>
                <w:b w:val="0"/>
                <w:sz w:val="17"/>
              </w:rPr>
              <w:t>-0.509</w:t>
            </w:r>
          </w:p>
        </w:tc>
        <w:tc>
          <w:tcPr>
            <w:tcW w:type="dxa" w:w="617"/>
          </w:tcPr>
          <w:p>
            <w:r>
              <w:rPr>
                <w:b w:val="0"/>
                <w:sz w:val="17"/>
              </w:rPr>
              <w:t>-5.509</w:t>
            </w:r>
          </w:p>
        </w:tc>
      </w:tr>
    </w:tbl>
    <w:p>
      <w:r>
        <w:rPr>
          <w:b w:val="0"/>
          <w:color w:val="718096"/>
        </w:rPr>
        <w:t>Sensitivity: the composite lead changes from quercetin to isorhamnetin at only ~7% protonation (pKaH ≈ -1.1) — the protonation pKa is the key uncertainty.</w:t>
      </w:r>
    </w:p>
    <w:p>
      <w:r>
        <w:rPr>
          <w:b w:val="0"/>
        </w:rPr>
        <w:t>Computed pKaH (DFT deprotonation cycle, frequency-corrected) resolves it: the most basic flavonoid is only 0.00% protonated, so every species is essentially fully neutral and the headline lead is robust.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t>molecule</w:t>
            </w:r>
          </w:p>
        </w:tc>
        <w:tc>
          <w:tcPr>
            <w:tcW w:type="dxa" w:w="2880"/>
          </w:tcPr>
          <w:p>
            <w:r>
              <w:rPr>
                <w:b/>
                <w:sz w:val="17"/>
              </w:rPr>
              <w:t>computed pKaH</w:t>
            </w:r>
          </w:p>
        </w:tc>
        <w:tc>
          <w:tcPr>
            <w:tcW w:type="dxa" w:w="2880"/>
          </w:tcPr>
          <w:p>
            <w:r>
              <w:rPr>
                <w:b/>
                <w:sz w:val="17"/>
              </w:rPr>
              <w:t>% protonated</w:t>
            </w:r>
          </w:p>
        </w:tc>
      </w:tr>
      <w:tr>
        <w:tc>
          <w:tcPr>
            <w:tcW w:type="dxa" w:w="2880"/>
          </w:tcPr>
          <w:p>
            <w:r>
              <w:rPr>
                <w:b w:val="0"/>
                <w:sz w:val="17"/>
              </w:rPr>
              <w:t>kaempferol</w:t>
            </w:r>
          </w:p>
        </w:tc>
        <w:tc>
          <w:tcPr>
            <w:tcW w:type="dxa" w:w="2880"/>
          </w:tcPr>
          <w:p>
            <w:r>
              <w:rPr>
                <w:b w:val="0"/>
                <w:sz w:val="17"/>
              </w:rPr>
              <w:t>-12.9</w:t>
            </w:r>
          </w:p>
        </w:tc>
        <w:tc>
          <w:tcPr>
            <w:tcW w:type="dxa" w:w="2880"/>
          </w:tcPr>
          <w:p>
            <w:r>
              <w:rPr>
                <w:b w:val="0"/>
                <w:sz w:val="17"/>
              </w:rPr>
              <w:t>0.00%</w:t>
            </w:r>
          </w:p>
        </w:tc>
      </w:tr>
      <w:tr>
        <w:tc>
          <w:tcPr>
            <w:tcW w:type="dxa" w:w="2880"/>
          </w:tcPr>
          <w:p>
            <w:r>
              <w:rPr>
                <w:b w:val="0"/>
                <w:sz w:val="17"/>
              </w:rPr>
              <w:t>quercetin</w:t>
            </w:r>
          </w:p>
        </w:tc>
        <w:tc>
          <w:tcPr>
            <w:tcW w:type="dxa" w:w="2880"/>
          </w:tcPr>
          <w:p>
            <w:r>
              <w:rPr>
                <w:b w:val="0"/>
                <w:sz w:val="17"/>
              </w:rPr>
              <w:t>-13.3</w:t>
            </w:r>
          </w:p>
        </w:tc>
        <w:tc>
          <w:tcPr>
            <w:tcW w:type="dxa" w:w="2880"/>
          </w:tcPr>
          <w:p>
            <w:r>
              <w:rPr>
                <w:b w:val="0"/>
                <w:sz w:val="17"/>
              </w:rPr>
              <w:t>0.00%</w:t>
            </w:r>
          </w:p>
        </w:tc>
      </w:tr>
      <w:tr>
        <w:tc>
          <w:tcPr>
            <w:tcW w:type="dxa" w:w="2880"/>
          </w:tcPr>
          <w:p>
            <w:r>
              <w:rPr>
                <w:b w:val="0"/>
                <w:sz w:val="17"/>
              </w:rPr>
              <w:t>isorhamnetin</w:t>
            </w:r>
          </w:p>
        </w:tc>
        <w:tc>
          <w:tcPr>
            <w:tcW w:type="dxa" w:w="2880"/>
          </w:tcPr>
          <w:p>
            <w:r>
              <w:rPr>
                <w:b w:val="0"/>
                <w:sz w:val="17"/>
              </w:rPr>
              <w:t>-5.1</w:t>
            </w:r>
          </w:p>
        </w:tc>
        <w:tc>
          <w:tcPr>
            <w:tcW w:type="dxa" w:w="2880"/>
          </w:tcPr>
          <w:p>
            <w:r>
              <w:rPr>
                <w:b w:val="0"/>
                <w:sz w:val="17"/>
              </w:rPr>
              <w:t>0.00%</w:t>
            </w:r>
          </w:p>
        </w:tc>
      </w:tr>
    </w:tbl>
    <w:p>
      <w:r>
        <w:rPr>
          <w:b w:val="0"/>
          <w:color w:val="718096"/>
          <w:sz w:val="16"/>
        </w:rPr>
        <w:t>results/pka.json (ADR 0005).</w:t>
      </w:r>
    </w:p>
    <w:p>
      <w:pPr>
        <w:pStyle w:val="Heading2"/>
      </w:pPr>
      <w:r>
        <w:t>3.7 Local reactivity (Fukui)</w:t>
      </w:r>
    </w:p>
    <w:p>
      <w:r>
        <w:rPr>
          <w:b w:val="0"/>
        </w:rPr>
        <w:t>Global descriptors say how reactive a molecule is; the condensed Fukui functions say where. f⁻ locates the electron-donating atoms that coordinate the metal, f⁺ the electron-accepting (back-donation) atoms. For these flavonoids the highest-f⁻ sites are the catechol B-ring and 3-OH oxygens.</w:t>
      </w:r>
    </w:p>
    <w:p>
      <w:r>
        <w:rPr>
          <w:b/>
          <w:sz w:val="20"/>
        </w:rPr>
        <w:t>kaempferol</w:t>
      </w:r>
      <w:r>
        <w:rPr>
          <w:b w:val="0"/>
          <w:sz w:val="20"/>
        </w:rPr>
        <w:t>: O3 (f⁻=0.116), O12 (f⁻=0.055), O19 (f⁻=0.053)</w:t>
      </w:r>
    </w:p>
    <w:p>
      <w:r>
        <w:rPr>
          <w:b/>
          <w:sz w:val="20"/>
        </w:rPr>
        <w:t>quercetin</w:t>
      </w:r>
      <w:r>
        <w:rPr>
          <w:b w:val="0"/>
          <w:sz w:val="20"/>
        </w:rPr>
        <w:t>: O3 (f⁻=0.090), O9 (f⁻=0.088), O11 (f⁻=0.040)</w:t>
      </w:r>
    </w:p>
    <w:p>
      <w:r>
        <w:rPr>
          <w:b/>
          <w:sz w:val="20"/>
        </w:rPr>
        <w:t>isorhamnetin</w:t>
      </w:r>
      <w:r>
        <w:rPr>
          <w:b w:val="0"/>
          <w:sz w:val="20"/>
        </w:rPr>
        <w:t>: O9 (f⁻=0.094), O3 (f⁻=0.093), O11 (f⁻=0.043)</w:t>
      </w:r>
    </w:p>
    <w:p>
      <w:pPr>
        <w:jc w:val="center"/>
      </w:pPr>
      <w:r>
        <w:drawing>
          <wp:inline xmlns:a="http://schemas.openxmlformats.org/drawingml/2006/main" xmlns:pic="http://schemas.openxmlformats.org/drawingml/2006/picture">
            <wp:extent cx="5212080" cy="2018957"/>
            <wp:docPr id="13" name="Picture 13"/>
            <wp:cNvGraphicFramePr>
              <a:graphicFrameLocks noChangeAspect="1"/>
            </wp:cNvGraphicFramePr>
            <a:graphic>
              <a:graphicData uri="http://schemas.openxmlformats.org/drawingml/2006/picture">
                <pic:pic>
                  <pic:nvPicPr>
                    <pic:cNvPr id="0" name="fig4_kaempferol_fukui.png"/>
                    <pic:cNvPicPr/>
                  </pic:nvPicPr>
                  <pic:blipFill>
                    <a:blip r:embed="rId21"/>
                    <a:stretch>
                      <a:fillRect/>
                    </a:stretch>
                  </pic:blipFill>
                  <pic:spPr>
                    <a:xfrm>
                      <a:off x="0" y="0"/>
                      <a:ext cx="5212080" cy="2018957"/>
                    </a:xfrm>
                    <a:prstGeom prst="rect"/>
                  </pic:spPr>
                </pic:pic>
              </a:graphicData>
            </a:graphic>
          </wp:inline>
        </w:drawing>
      </w:r>
    </w:p>
    <w:p>
      <w:pPr>
        <w:jc w:val="center"/>
      </w:pPr>
      <w:r>
        <w:rPr>
          <w:i/>
          <w:color w:val="718096"/>
          <w:sz w:val="16"/>
        </w:rPr>
        <w:t>kaempferol — condensed Fukui</w:t>
      </w:r>
    </w:p>
    <w:p>
      <w:pPr>
        <w:jc w:val="center"/>
      </w:pPr>
      <w:r>
        <w:drawing>
          <wp:inline xmlns:a="http://schemas.openxmlformats.org/drawingml/2006/main" xmlns:pic="http://schemas.openxmlformats.org/drawingml/2006/picture">
            <wp:extent cx="5212080" cy="2018957"/>
            <wp:docPr id="14" name="Picture 14"/>
            <wp:cNvGraphicFramePr>
              <a:graphicFrameLocks noChangeAspect="1"/>
            </wp:cNvGraphicFramePr>
            <a:graphic>
              <a:graphicData uri="http://schemas.openxmlformats.org/drawingml/2006/picture">
                <pic:pic>
                  <pic:nvPicPr>
                    <pic:cNvPr id="0" name="fig4_quercetin_fukui.png"/>
                    <pic:cNvPicPr/>
                  </pic:nvPicPr>
                  <pic:blipFill>
                    <a:blip r:embed="rId22"/>
                    <a:stretch>
                      <a:fillRect/>
                    </a:stretch>
                  </pic:blipFill>
                  <pic:spPr>
                    <a:xfrm>
                      <a:off x="0" y="0"/>
                      <a:ext cx="5212080" cy="2018957"/>
                    </a:xfrm>
                    <a:prstGeom prst="rect"/>
                  </pic:spPr>
                </pic:pic>
              </a:graphicData>
            </a:graphic>
          </wp:inline>
        </w:drawing>
      </w:r>
    </w:p>
    <w:p>
      <w:pPr>
        <w:jc w:val="center"/>
      </w:pPr>
      <w:r>
        <w:rPr>
          <w:i/>
          <w:color w:val="718096"/>
          <w:sz w:val="16"/>
        </w:rPr>
        <w:t>quercetin — condensed Fukui</w:t>
      </w:r>
    </w:p>
    <w:p>
      <w:pPr>
        <w:jc w:val="center"/>
      </w:pPr>
      <w:r>
        <w:drawing>
          <wp:inline xmlns:a="http://schemas.openxmlformats.org/drawingml/2006/main" xmlns:pic="http://schemas.openxmlformats.org/drawingml/2006/picture">
            <wp:extent cx="5212080" cy="2018957"/>
            <wp:docPr id="15" name="Picture 15"/>
            <wp:cNvGraphicFramePr>
              <a:graphicFrameLocks noChangeAspect="1"/>
            </wp:cNvGraphicFramePr>
            <a:graphic>
              <a:graphicData uri="http://schemas.openxmlformats.org/drawingml/2006/picture">
                <pic:pic>
                  <pic:nvPicPr>
                    <pic:cNvPr id="0" name="fig4_isorhamnetin_fukui.png"/>
                    <pic:cNvPicPr/>
                  </pic:nvPicPr>
                  <pic:blipFill>
                    <a:blip r:embed="rId23"/>
                    <a:stretch>
                      <a:fillRect/>
                    </a:stretch>
                  </pic:blipFill>
                  <pic:spPr>
                    <a:xfrm>
                      <a:off x="0" y="0"/>
                      <a:ext cx="5212080" cy="2018957"/>
                    </a:xfrm>
                    <a:prstGeom prst="rect"/>
                  </pic:spPr>
                </pic:pic>
              </a:graphicData>
            </a:graphic>
          </wp:inline>
        </w:drawing>
      </w:r>
    </w:p>
    <w:p>
      <w:pPr>
        <w:jc w:val="center"/>
      </w:pPr>
      <w:r>
        <w:rPr>
          <w:i/>
          <w:color w:val="718096"/>
          <w:sz w:val="16"/>
        </w:rPr>
        <w:t>isorhamnetin — condensed Fukui</w:t>
      </w:r>
    </w:p>
    <w:p>
      <w:r>
        <w:rPr>
          <w:b w:val="0"/>
          <w:sz w:val="20"/>
        </w:rPr>
        <w:t>Condensed Fukui functions per heavy atom: f⁻ (donor, binds the metal) and f⁺ (acceptor). The tallest f⁻ bars are the oxygens that coordinate the surface; the atom indices match the structure panel.</w:t>
      </w:r>
    </w:p>
    <w:p>
      <w:pPr>
        <w:pStyle w:val="Heading2"/>
      </w:pPr>
      <w:r>
        <w:t>3.8 Electrostatic-potential (ESP) map</w:t>
      </w:r>
    </w:p>
    <w:p>
      <w:r>
        <w:rPr>
          <w:b w:val="0"/>
        </w:rPr>
        <w:t>The molecular electrostatic-potential (ESP) map colours the electron-density surface by potential: red (negative) regions are electron-rich and nucleophilic — the metal-coordinating patches — corroborating the Fukui donor analysis.</w:t>
      </w:r>
    </w:p>
    <w:p>
      <w:pPr>
        <w:jc w:val="center"/>
      </w:pPr>
      <w:r>
        <w:drawing>
          <wp:inline xmlns:a="http://schemas.openxmlformats.org/drawingml/2006/main" xmlns:pic="http://schemas.openxmlformats.org/drawingml/2006/picture">
            <wp:extent cx="2651760" cy="2348964"/>
            <wp:docPr id="16" name="Picture 16"/>
            <wp:cNvGraphicFramePr>
              <a:graphicFrameLocks noChangeAspect="1"/>
            </wp:cNvGraphicFramePr>
            <a:graphic>
              <a:graphicData uri="http://schemas.openxmlformats.org/drawingml/2006/picture">
                <pic:pic>
                  <pic:nvPicPr>
                    <pic:cNvPr id="0" name="fig7_kaempferol_esp.png"/>
                    <pic:cNvPicPr/>
                  </pic:nvPicPr>
                  <pic:blipFill>
                    <a:blip r:embed="rId24"/>
                    <a:stretch>
                      <a:fillRect/>
                    </a:stretch>
                  </pic:blipFill>
                  <pic:spPr>
                    <a:xfrm>
                      <a:off x="0" y="0"/>
                      <a:ext cx="2651760" cy="2348964"/>
                    </a:xfrm>
                    <a:prstGeom prst="rect"/>
                  </pic:spPr>
                </pic:pic>
              </a:graphicData>
            </a:graphic>
          </wp:inline>
        </w:drawing>
      </w:r>
    </w:p>
    <w:p>
      <w:pPr>
        <w:jc w:val="center"/>
      </w:pPr>
      <w:r>
        <w:rPr>
          <w:i/>
          <w:color w:val="718096"/>
          <w:sz w:val="16"/>
        </w:rPr>
        <w:t>kaempferol — ESP map</w:t>
      </w:r>
    </w:p>
    <w:p>
      <w:pPr>
        <w:jc w:val="center"/>
      </w:pPr>
      <w:r>
        <w:drawing>
          <wp:inline xmlns:a="http://schemas.openxmlformats.org/drawingml/2006/main" xmlns:pic="http://schemas.openxmlformats.org/drawingml/2006/picture">
            <wp:extent cx="2651760" cy="2322197"/>
            <wp:docPr id="17" name="Picture 17"/>
            <wp:cNvGraphicFramePr>
              <a:graphicFrameLocks noChangeAspect="1"/>
            </wp:cNvGraphicFramePr>
            <a:graphic>
              <a:graphicData uri="http://schemas.openxmlformats.org/drawingml/2006/picture">
                <pic:pic>
                  <pic:nvPicPr>
                    <pic:cNvPr id="0" name="fig7_quercetin_esp.png"/>
                    <pic:cNvPicPr/>
                  </pic:nvPicPr>
                  <pic:blipFill>
                    <a:blip r:embed="rId25"/>
                    <a:stretch>
                      <a:fillRect/>
                    </a:stretch>
                  </pic:blipFill>
                  <pic:spPr>
                    <a:xfrm>
                      <a:off x="0" y="0"/>
                      <a:ext cx="2651760" cy="2322197"/>
                    </a:xfrm>
                    <a:prstGeom prst="rect"/>
                  </pic:spPr>
                </pic:pic>
              </a:graphicData>
            </a:graphic>
          </wp:inline>
        </w:drawing>
      </w:r>
    </w:p>
    <w:p>
      <w:pPr>
        <w:jc w:val="center"/>
      </w:pPr>
      <w:r>
        <w:rPr>
          <w:i/>
          <w:color w:val="718096"/>
          <w:sz w:val="16"/>
        </w:rPr>
        <w:t>quercetin — ESP map</w:t>
      </w:r>
    </w:p>
    <w:p>
      <w:pPr>
        <w:jc w:val="center"/>
      </w:pPr>
      <w:r>
        <w:drawing>
          <wp:inline xmlns:a="http://schemas.openxmlformats.org/drawingml/2006/main" xmlns:pic="http://schemas.openxmlformats.org/drawingml/2006/picture">
            <wp:extent cx="2651760" cy="2348964"/>
            <wp:docPr id="18" name="Picture 18"/>
            <wp:cNvGraphicFramePr>
              <a:graphicFrameLocks noChangeAspect="1"/>
            </wp:cNvGraphicFramePr>
            <a:graphic>
              <a:graphicData uri="http://schemas.openxmlformats.org/drawingml/2006/picture">
                <pic:pic>
                  <pic:nvPicPr>
                    <pic:cNvPr id="0" name="fig7_isorhamnetin_esp.png"/>
                    <pic:cNvPicPr/>
                  </pic:nvPicPr>
                  <pic:blipFill>
                    <a:blip r:embed="rId26"/>
                    <a:stretch>
                      <a:fillRect/>
                    </a:stretch>
                  </pic:blipFill>
                  <pic:spPr>
                    <a:xfrm>
                      <a:off x="0" y="0"/>
                      <a:ext cx="2651760" cy="2348964"/>
                    </a:xfrm>
                    <a:prstGeom prst="rect"/>
                  </pic:spPr>
                </pic:pic>
              </a:graphicData>
            </a:graphic>
          </wp:inline>
        </w:drawing>
      </w:r>
    </w:p>
    <w:p>
      <w:pPr>
        <w:jc w:val="center"/>
      </w:pPr>
      <w:r>
        <w:rPr>
          <w:i/>
          <w:color w:val="718096"/>
          <w:sz w:val="16"/>
        </w:rPr>
        <w:t>isorhamnetin — ESP map</w:t>
      </w:r>
    </w:p>
    <w:p>
      <w:r>
        <w:rPr>
          <w:b w:val="0"/>
          <w:sz w:val="20"/>
        </w:rPr>
        <w:t>The electron-density isosurface coloured by electrostatic potential. Red over the catechol and carbonyl oxygens is the electron-rich, metal-binding region; blue is electron-poor — a spatial confirmation of the Fukui donor sites.</w:t>
      </w:r>
    </w:p>
    <w:p>
      <w:pPr>
        <w:pStyle w:val="Heading1"/>
      </w:pPr>
      <w:r>
        <w:t>4. Stage 2 — Monte Carlo adsorption</w:t>
      </w:r>
    </w:p>
    <w:p>
      <w:r>
        <w:rPr>
          <w:b w:val="0"/>
        </w:rPr>
        <w:t>A Metropolis / simulated-annealing Monte-Carlo search nudges and rotates the rigid molecule thousands of times over an Fe(110) slab to find the lowest-energy pose, scored with the UFF van-der-Waals interaction. The flavonoids settle flat/parallel to the surface; the adsorption energy E_ads ≈ −16 kJ/mol places them in the physisorption regime.</w:t>
      </w:r>
    </w:p>
    <w:p>
      <w:pPr>
        <w:jc w:val="center"/>
      </w:pPr>
      <w:r>
        <w:drawing>
          <wp:inline xmlns:a="http://schemas.openxmlformats.org/drawingml/2006/main" xmlns:pic="http://schemas.openxmlformats.org/drawingml/2006/picture">
            <wp:extent cx="5212080" cy="2511944"/>
            <wp:docPr id="19" name="Picture 19"/>
            <wp:cNvGraphicFramePr>
              <a:graphicFrameLocks noChangeAspect="1"/>
            </wp:cNvGraphicFramePr>
            <a:graphic>
              <a:graphicData uri="http://schemas.openxmlformats.org/drawingml/2006/picture">
                <pic:pic>
                  <pic:nvPicPr>
                    <pic:cNvPr id="0" name="fig5_kaempferol_mc_pose.png"/>
                    <pic:cNvPicPr/>
                  </pic:nvPicPr>
                  <pic:blipFill>
                    <a:blip r:embed="rId27"/>
                    <a:stretch>
                      <a:fillRect/>
                    </a:stretch>
                  </pic:blipFill>
                  <pic:spPr>
                    <a:xfrm>
                      <a:off x="0" y="0"/>
                      <a:ext cx="5212080" cy="2511944"/>
                    </a:xfrm>
                    <a:prstGeom prst="rect"/>
                  </pic:spPr>
                </pic:pic>
              </a:graphicData>
            </a:graphic>
          </wp:inline>
        </w:drawing>
      </w:r>
    </w:p>
    <w:p>
      <w:pPr>
        <w:jc w:val="center"/>
      </w:pPr>
      <w:r>
        <w:rPr>
          <w:i/>
          <w:color w:val="718096"/>
          <w:sz w:val="16"/>
        </w:rPr>
        <w:t>kaempferol — best pose</w:t>
      </w:r>
    </w:p>
    <w:p>
      <w:pPr>
        <w:jc w:val="center"/>
      </w:pPr>
      <w:r>
        <w:drawing>
          <wp:inline xmlns:a="http://schemas.openxmlformats.org/drawingml/2006/main" xmlns:pic="http://schemas.openxmlformats.org/drawingml/2006/picture">
            <wp:extent cx="5212080" cy="2511944"/>
            <wp:docPr id="20" name="Picture 20"/>
            <wp:cNvGraphicFramePr>
              <a:graphicFrameLocks noChangeAspect="1"/>
            </wp:cNvGraphicFramePr>
            <a:graphic>
              <a:graphicData uri="http://schemas.openxmlformats.org/drawingml/2006/picture">
                <pic:pic>
                  <pic:nvPicPr>
                    <pic:cNvPr id="0" name="fig5_quercetin_mc_pose.png"/>
                    <pic:cNvPicPr/>
                  </pic:nvPicPr>
                  <pic:blipFill>
                    <a:blip r:embed="rId28"/>
                    <a:stretch>
                      <a:fillRect/>
                    </a:stretch>
                  </pic:blipFill>
                  <pic:spPr>
                    <a:xfrm>
                      <a:off x="0" y="0"/>
                      <a:ext cx="5212080" cy="2511944"/>
                    </a:xfrm>
                    <a:prstGeom prst="rect"/>
                  </pic:spPr>
                </pic:pic>
              </a:graphicData>
            </a:graphic>
          </wp:inline>
        </w:drawing>
      </w:r>
    </w:p>
    <w:p>
      <w:pPr>
        <w:jc w:val="center"/>
      </w:pPr>
      <w:r>
        <w:rPr>
          <w:i/>
          <w:color w:val="718096"/>
          <w:sz w:val="16"/>
        </w:rPr>
        <w:t>quercetin — best pose</w:t>
      </w:r>
    </w:p>
    <w:p>
      <w:pPr>
        <w:jc w:val="center"/>
      </w:pPr>
      <w:r>
        <w:drawing>
          <wp:inline xmlns:a="http://schemas.openxmlformats.org/drawingml/2006/main" xmlns:pic="http://schemas.openxmlformats.org/drawingml/2006/picture">
            <wp:extent cx="5212080" cy="2511944"/>
            <wp:docPr id="21" name="Picture 21"/>
            <wp:cNvGraphicFramePr>
              <a:graphicFrameLocks noChangeAspect="1"/>
            </wp:cNvGraphicFramePr>
            <a:graphic>
              <a:graphicData uri="http://schemas.openxmlformats.org/drawingml/2006/picture">
                <pic:pic>
                  <pic:nvPicPr>
                    <pic:cNvPr id="0" name="fig5_isorhamnetin_mc_pose.png"/>
                    <pic:cNvPicPr/>
                  </pic:nvPicPr>
                  <pic:blipFill>
                    <a:blip r:embed="rId29"/>
                    <a:stretch>
                      <a:fillRect/>
                    </a:stretch>
                  </pic:blipFill>
                  <pic:spPr>
                    <a:xfrm>
                      <a:off x="0" y="0"/>
                      <a:ext cx="5212080" cy="2511944"/>
                    </a:xfrm>
                    <a:prstGeom prst="rect"/>
                  </pic:spPr>
                </pic:pic>
              </a:graphicData>
            </a:graphic>
          </wp:inline>
        </w:drawing>
      </w:r>
    </w:p>
    <w:p>
      <w:pPr>
        <w:jc w:val="center"/>
      </w:pPr>
      <w:r>
        <w:rPr>
          <w:i/>
          <w:color w:val="718096"/>
          <w:sz w:val="16"/>
        </w:rPr>
        <w:t>isorhamnetin — best pose</w:t>
      </w:r>
    </w:p>
    <w:p>
      <w:r>
        <w:rPr>
          <w:b w:val="0"/>
          <w:sz w:val="20"/>
        </w:rPr>
        <w:t>Top and side views of the lowest-energy Monte-Carlo adsorption pose. The molecule lies flat/parallel to the Fe(110) slab, maximising oxygen contact with the surface — the geometry expected for physisorption.</w:t>
      </w:r>
    </w:p>
    <w:p>
      <w:pPr>
        <w:jc w:val="center"/>
      </w:pPr>
      <w:r>
        <w:drawing>
          <wp:inline xmlns:a="http://schemas.openxmlformats.org/drawingml/2006/main" xmlns:pic="http://schemas.openxmlformats.org/drawingml/2006/picture">
            <wp:extent cx="5212080" cy="2716362"/>
            <wp:docPr id="22" name="Picture 22"/>
            <wp:cNvGraphicFramePr>
              <a:graphicFrameLocks noChangeAspect="1"/>
            </wp:cNvGraphicFramePr>
            <a:graphic>
              <a:graphicData uri="http://schemas.openxmlformats.org/drawingml/2006/picture">
                <pic:pic>
                  <pic:nvPicPr>
                    <pic:cNvPr id="0" name="fig5_kaempferol_mc_energy.png"/>
                    <pic:cNvPicPr/>
                  </pic:nvPicPr>
                  <pic:blipFill>
                    <a:blip r:embed="rId30"/>
                    <a:stretch>
                      <a:fillRect/>
                    </a:stretch>
                  </pic:blipFill>
                  <pic:spPr>
                    <a:xfrm>
                      <a:off x="0" y="0"/>
                      <a:ext cx="5212080" cy="2716362"/>
                    </a:xfrm>
                    <a:prstGeom prst="rect"/>
                  </pic:spPr>
                </pic:pic>
              </a:graphicData>
            </a:graphic>
          </wp:inline>
        </w:drawing>
      </w:r>
    </w:p>
    <w:p>
      <w:pPr>
        <w:jc w:val="center"/>
      </w:pPr>
      <w:r>
        <w:rPr>
          <w:i/>
          <w:color w:val="718096"/>
          <w:sz w:val="16"/>
        </w:rPr>
        <w:t>kaempferol — MC annealing</w:t>
      </w:r>
    </w:p>
    <w:p>
      <w:pPr>
        <w:jc w:val="center"/>
      </w:pPr>
      <w:r>
        <w:drawing>
          <wp:inline xmlns:a="http://schemas.openxmlformats.org/drawingml/2006/main" xmlns:pic="http://schemas.openxmlformats.org/drawingml/2006/picture">
            <wp:extent cx="5212080" cy="2716362"/>
            <wp:docPr id="23" name="Picture 23"/>
            <wp:cNvGraphicFramePr>
              <a:graphicFrameLocks noChangeAspect="1"/>
            </wp:cNvGraphicFramePr>
            <a:graphic>
              <a:graphicData uri="http://schemas.openxmlformats.org/drawingml/2006/picture">
                <pic:pic>
                  <pic:nvPicPr>
                    <pic:cNvPr id="0" name="fig5_quercetin_mc_energy.png"/>
                    <pic:cNvPicPr/>
                  </pic:nvPicPr>
                  <pic:blipFill>
                    <a:blip r:embed="rId31"/>
                    <a:stretch>
                      <a:fillRect/>
                    </a:stretch>
                  </pic:blipFill>
                  <pic:spPr>
                    <a:xfrm>
                      <a:off x="0" y="0"/>
                      <a:ext cx="5212080" cy="2716362"/>
                    </a:xfrm>
                    <a:prstGeom prst="rect"/>
                  </pic:spPr>
                </pic:pic>
              </a:graphicData>
            </a:graphic>
          </wp:inline>
        </w:drawing>
      </w:r>
    </w:p>
    <w:p>
      <w:pPr>
        <w:jc w:val="center"/>
      </w:pPr>
      <w:r>
        <w:rPr>
          <w:i/>
          <w:color w:val="718096"/>
          <w:sz w:val="16"/>
        </w:rPr>
        <w:t>quercetin — MC annealing</w:t>
      </w:r>
    </w:p>
    <w:p>
      <w:pPr>
        <w:jc w:val="center"/>
      </w:pPr>
      <w:r>
        <w:drawing>
          <wp:inline xmlns:a="http://schemas.openxmlformats.org/drawingml/2006/main" xmlns:pic="http://schemas.openxmlformats.org/drawingml/2006/picture">
            <wp:extent cx="5212080" cy="2716362"/>
            <wp:docPr id="24" name="Picture 24"/>
            <wp:cNvGraphicFramePr>
              <a:graphicFrameLocks noChangeAspect="1"/>
            </wp:cNvGraphicFramePr>
            <a:graphic>
              <a:graphicData uri="http://schemas.openxmlformats.org/drawingml/2006/picture">
                <pic:pic>
                  <pic:nvPicPr>
                    <pic:cNvPr id="0" name="fig5_isorhamnetin_mc_energy.png"/>
                    <pic:cNvPicPr/>
                  </pic:nvPicPr>
                  <pic:blipFill>
                    <a:blip r:embed="rId32"/>
                    <a:stretch>
                      <a:fillRect/>
                    </a:stretch>
                  </pic:blipFill>
                  <pic:spPr>
                    <a:xfrm>
                      <a:off x="0" y="0"/>
                      <a:ext cx="5212080" cy="2716362"/>
                    </a:xfrm>
                    <a:prstGeom prst="rect"/>
                  </pic:spPr>
                </pic:pic>
              </a:graphicData>
            </a:graphic>
          </wp:inline>
        </w:drawing>
      </w:r>
    </w:p>
    <w:p>
      <w:pPr>
        <w:jc w:val="center"/>
      </w:pPr>
      <w:r>
        <w:rPr>
          <w:i/>
          <w:color w:val="718096"/>
          <w:sz w:val="16"/>
        </w:rPr>
        <w:t>isorhamnetin — MC annealing</w:t>
      </w:r>
    </w:p>
    <w:p>
      <w:r>
        <w:rPr>
          <w:b w:val="0"/>
          <w:sz w:val="20"/>
        </w:rPr>
        <w:t>The simulated-annealing energy trace: interaction energy vs Monte-Carlo step, converging to the best adsorption energy (dashed). The plateau near −16 kJ/mol is the reported E_ads.</w:t>
      </w:r>
    </w:p>
    <w:p>
      <w:pPr>
        <w:pStyle w:val="Heading1"/>
      </w:pPr>
      <w:r>
        <w:t>5. Stage 3 — Brownian MD (Fe-O RDF)</w:t>
      </w:r>
    </w:p>
    <w:p>
      <w:r>
        <w:rPr>
          <w:b w:val="0"/>
        </w:rPr>
        <w:t>Starting from the best Monte-Carlo pose, a Brownian rigid-body molecular-dynamics run lets the molecule jiggle at 298 K. The first peak of the metal-O radial distribution function g(r) sets the adsorption distance; a peak near 3.5 Å is physisorption range (a chemisorbed contact would sit closer).</w:t>
      </w:r>
    </w:p>
    <w:p>
      <w:pPr>
        <w:jc w:val="center"/>
      </w:pPr>
      <w:r>
        <w:drawing>
          <wp:inline xmlns:a="http://schemas.openxmlformats.org/drawingml/2006/main" xmlns:pic="http://schemas.openxmlformats.org/drawingml/2006/picture">
            <wp:extent cx="5212080" cy="2860766"/>
            <wp:docPr id="25" name="Picture 25"/>
            <wp:cNvGraphicFramePr>
              <a:graphicFrameLocks noChangeAspect="1"/>
            </wp:cNvGraphicFramePr>
            <a:graphic>
              <a:graphicData uri="http://schemas.openxmlformats.org/drawingml/2006/picture">
                <pic:pic>
                  <pic:nvPicPr>
                    <pic:cNvPr id="0" name="fig6_kaempferol_rdf.png"/>
                    <pic:cNvPicPr/>
                  </pic:nvPicPr>
                  <pic:blipFill>
                    <a:blip r:embed="rId33"/>
                    <a:stretch>
                      <a:fillRect/>
                    </a:stretch>
                  </pic:blipFill>
                  <pic:spPr>
                    <a:xfrm>
                      <a:off x="0" y="0"/>
                      <a:ext cx="5212080" cy="2860766"/>
                    </a:xfrm>
                    <a:prstGeom prst="rect"/>
                  </pic:spPr>
                </pic:pic>
              </a:graphicData>
            </a:graphic>
          </wp:inline>
        </w:drawing>
      </w:r>
    </w:p>
    <w:p>
      <w:pPr>
        <w:jc w:val="center"/>
      </w:pPr>
      <w:r>
        <w:rPr>
          <w:i/>
          <w:color w:val="718096"/>
          <w:sz w:val="16"/>
        </w:rPr>
        <w:t>kaempferol — Fe-O RDF</w:t>
      </w:r>
    </w:p>
    <w:p>
      <w:pPr>
        <w:jc w:val="center"/>
      </w:pPr>
      <w:r>
        <w:drawing>
          <wp:inline xmlns:a="http://schemas.openxmlformats.org/drawingml/2006/main" xmlns:pic="http://schemas.openxmlformats.org/drawingml/2006/picture">
            <wp:extent cx="5212080" cy="2860766"/>
            <wp:docPr id="26" name="Picture 26"/>
            <wp:cNvGraphicFramePr>
              <a:graphicFrameLocks noChangeAspect="1"/>
            </wp:cNvGraphicFramePr>
            <a:graphic>
              <a:graphicData uri="http://schemas.openxmlformats.org/drawingml/2006/picture">
                <pic:pic>
                  <pic:nvPicPr>
                    <pic:cNvPr id="0" name="fig6_quercetin_rdf.png"/>
                    <pic:cNvPicPr/>
                  </pic:nvPicPr>
                  <pic:blipFill>
                    <a:blip r:embed="rId34"/>
                    <a:stretch>
                      <a:fillRect/>
                    </a:stretch>
                  </pic:blipFill>
                  <pic:spPr>
                    <a:xfrm>
                      <a:off x="0" y="0"/>
                      <a:ext cx="5212080" cy="2860766"/>
                    </a:xfrm>
                    <a:prstGeom prst="rect"/>
                  </pic:spPr>
                </pic:pic>
              </a:graphicData>
            </a:graphic>
          </wp:inline>
        </w:drawing>
      </w:r>
    </w:p>
    <w:p>
      <w:pPr>
        <w:jc w:val="center"/>
      </w:pPr>
      <w:r>
        <w:rPr>
          <w:i/>
          <w:color w:val="718096"/>
          <w:sz w:val="16"/>
        </w:rPr>
        <w:t>quercetin — Fe-O RDF</w:t>
      </w:r>
    </w:p>
    <w:p>
      <w:pPr>
        <w:jc w:val="center"/>
      </w:pPr>
      <w:r>
        <w:drawing>
          <wp:inline xmlns:a="http://schemas.openxmlformats.org/drawingml/2006/main" xmlns:pic="http://schemas.openxmlformats.org/drawingml/2006/picture">
            <wp:extent cx="5212080" cy="2860766"/>
            <wp:docPr id="27" name="Picture 27"/>
            <wp:cNvGraphicFramePr>
              <a:graphicFrameLocks noChangeAspect="1"/>
            </wp:cNvGraphicFramePr>
            <a:graphic>
              <a:graphicData uri="http://schemas.openxmlformats.org/drawingml/2006/picture">
                <pic:pic>
                  <pic:nvPicPr>
                    <pic:cNvPr id="0" name="fig6_isorhamnetin_rdf.png"/>
                    <pic:cNvPicPr/>
                  </pic:nvPicPr>
                  <pic:blipFill>
                    <a:blip r:embed="rId35"/>
                    <a:stretch>
                      <a:fillRect/>
                    </a:stretch>
                  </pic:blipFill>
                  <pic:spPr>
                    <a:xfrm>
                      <a:off x="0" y="0"/>
                      <a:ext cx="5212080" cy="2860766"/>
                    </a:xfrm>
                    <a:prstGeom prst="rect"/>
                  </pic:spPr>
                </pic:pic>
              </a:graphicData>
            </a:graphic>
          </wp:inline>
        </w:drawing>
      </w:r>
    </w:p>
    <w:p>
      <w:pPr>
        <w:jc w:val="center"/>
      </w:pPr>
      <w:r>
        <w:rPr>
          <w:i/>
          <w:color w:val="718096"/>
          <w:sz w:val="16"/>
        </w:rPr>
        <w:t>isorhamnetin — Fe-O RDF</w:t>
      </w:r>
    </w:p>
    <w:p>
      <w:r>
        <w:rPr>
          <w:b w:val="0"/>
          <w:sz w:val="20"/>
        </w:rPr>
        <w:t>The metal-O radial distribution function from the Brownian-MD trajectory. The first peak (green physisorption band, ~3.5 Å) is the adsorption distance; the shaded cutoff marks the chemisorption threshold it stays above.</w:t>
      </w:r>
    </w:p>
    <w:p>
      <w:pPr>
        <w:pStyle w:val="Heading1"/>
      </w:pPr>
      <w:r>
        <w:t>6. Scientific basis &amp; validation</w:t>
      </w:r>
    </w:p>
    <w:p>
      <w:r>
        <w:rPr>
          <w:b w:val="0"/>
        </w:rPr>
        <w:t xml:space="preserve">This section consolidates the scientific basis (docs/pipeline.md) and the validation record (docs/validation.md) so the report is self-explanatory. The pipeline </w:t>
      </w:r>
      <w:r>
        <w:rPr>
          <w:b/>
        </w:rPr>
        <w:t>screens and explains</w:t>
      </w:r>
      <w:r>
        <w:rPr>
          <w:b w:val="0"/>
        </w:rPr>
        <w:t>; it does not prove inhibition — a candidate should still be confirmed electrochemically.</w:t>
      </w:r>
    </w:p>
    <w:p>
      <w:pPr>
        <w:pStyle w:val="Heading2"/>
      </w:pPr>
      <w:r>
        <w:t>6.1 Governing equations</w:t>
      </w:r>
    </w:p>
    <w:p>
      <w:r>
        <w:rPr>
          <w:b w:val="0"/>
        </w:rPr>
        <w:t>Stage 1 turns the two frontier-orbital energies into the standard reactivity descriptors via Koopmans' theorem; Stage 1b localises reactivity with the condensed Fukui functions; the speciation layer fixes the protonation state; and Stages 2–3 quantify adsorption. The full set is collected below.</w:t>
      </w:r>
    </w:p>
    <w:p>
      <w:pPr>
        <w:pStyle w:val="Heading3"/>
      </w:pPr>
      <w:r>
        <w:t>Stage 1 — global reactivity descriptors (Koopmans' theorem)</w:t>
      </w:r>
    </w:p>
    <w:p>
      <w:pPr>
        <w:jc w:val="center"/>
      </w:pPr>
      <m:oMath>
        <m:box>
          <m:e>
            <m:sSub>
              <m:e>
                <m:r>
                  <m:rPr>
                    <m:sty m:val="i"/>
                  </m:rPr>
                  <m:t>E</m:t>
                </m:r>
              </m:e>
              <m:sub>
                <m:box>
                  <m:e>
                    <m:r>
                      <m:rPr>
                        <m:sty m:val="i"/>
                      </m:rPr>
                      <m:t>g</m:t>
                    </m:r>
                    <m:r>
                      <m:rPr>
                        <m:sty m:val="i"/>
                      </m:rPr>
                      <m:t>a</m:t>
                    </m:r>
                    <m:r>
                      <m:rPr>
                        <m:sty m:val="i"/>
                      </m:rPr>
                      <m:t>p</m:t>
                    </m:r>
                  </m:e>
                </m:box>
              </m:sub>
            </m:sSub>
            <m:r>
              <m:rPr>
                <m:sty m:val="p"/>
              </m:rPr>
              <m:t>=</m:t>
            </m:r>
            <m:sSub>
              <m:e>
                <m:r>
                  <m:rPr>
                    <m:sty m:val="i"/>
                  </m:rPr>
                  <m:t>E</m:t>
                </m:r>
              </m:e>
              <m:sub>
                <m:box>
                  <m:e>
                    <m:r>
                      <m:rPr>
                        <m:sty m:val="i"/>
                      </m:rPr>
                      <m:t>L</m:t>
                    </m:r>
                    <m:r>
                      <m:rPr>
                        <m:sty m:val="i"/>
                      </m:rPr>
                      <m:t>U</m:t>
                    </m:r>
                    <m:r>
                      <m:rPr>
                        <m:sty m:val="i"/>
                      </m:rPr>
                      <m:t>M</m:t>
                    </m:r>
                    <m:r>
                      <m:rPr>
                        <m:sty m:val="i"/>
                      </m:rPr>
                      <m:t>O</m:t>
                    </m:r>
                  </m:e>
                </m:box>
              </m:sub>
            </m:sSub>
            <m:r>
              <m:rPr>
                <m:sty m:val="p"/>
              </m:rPr>
              <m:t>−</m:t>
            </m:r>
            <m:sSub>
              <m:e>
                <m:r>
                  <m:rPr>
                    <m:sty m:val="i"/>
                  </m:rPr>
                  <m:t>E</m:t>
                </m:r>
              </m:e>
              <m:sub>
                <m:box>
                  <m:e>
                    <m:r>
                      <m:rPr>
                        <m:sty m:val="i"/>
                      </m:rPr>
                      <m:t>H</m:t>
                    </m:r>
                    <m:r>
                      <m:rPr>
                        <m:sty m:val="i"/>
                      </m:rPr>
                      <m:t>O</m:t>
                    </m:r>
                    <m:r>
                      <m:rPr>
                        <m:sty m:val="i"/>
                      </m:rPr>
                      <m:t>M</m:t>
                    </m:r>
                    <m:r>
                      <m:rPr>
                        <m:sty m:val="i"/>
                      </m:rPr>
                      <m:t>O</m:t>
                    </m:r>
                  </m:e>
                </m:box>
              </m:sub>
            </m:sSub>
          </m:e>
        </m:box>
      </m:oMath>
    </w:p>
    <w:p>
      <w:r>
        <w:rPr>
          <w:b/>
        </w:rPr>
        <w:t xml:space="preserve">Energy gap ΔE — </w:t>
      </w:r>
      <w:r>
        <w:rPr>
          <w:color w:val="718096"/>
          <w:sz w:val="18"/>
        </w:rPr>
        <w:t>Frontier HOMO-LUMO separation; a smaller gap means a more reactive, more easily polarised inhibitor.</w:t>
      </w:r>
    </w:p>
    <w:p>
      <w:pPr>
        <w:jc w:val="center"/>
      </w:pPr>
      <m:oMath>
        <m:box>
          <m:e>
            <m:r>
              <m:rPr>
                <m:sty m:val="i"/>
              </m:rPr>
              <m:t>I</m:t>
            </m:r>
            <m:r>
              <m:rPr>
                <m:sty m:val="i"/>
              </m:rPr>
              <m:t>P</m:t>
            </m:r>
            <m:r>
              <m:rPr>
                <m:sty m:val="p"/>
              </m:rPr>
              <m:t>=</m:t>
            </m:r>
            <m:r>
              <m:rPr>
                <m:sty m:val="p"/>
              </m:rPr>
              <m:t>−</m:t>
            </m:r>
            <m:r>
              <m:t/>
            </m:r>
            <m:sSub>
              <m:e>
                <m:r>
                  <m:rPr>
                    <m:sty m:val="i"/>
                  </m:rPr>
                  <m:t>E</m:t>
                </m:r>
              </m:e>
              <m:sub>
                <m:box>
                  <m:e>
                    <m:r>
                      <m:rPr>
                        <m:sty m:val="i"/>
                      </m:rPr>
                      <m:t>H</m:t>
                    </m:r>
                    <m:r>
                      <m:rPr>
                        <m:sty m:val="i"/>
                      </m:rPr>
                      <m:t>O</m:t>
                    </m:r>
                    <m:r>
                      <m:rPr>
                        <m:sty m:val="i"/>
                      </m:rPr>
                      <m:t>M</m:t>
                    </m:r>
                    <m:r>
                      <m:rPr>
                        <m:sty m:val="i"/>
                      </m:rPr>
                      <m:t>O</m:t>
                    </m:r>
                  </m:e>
                </m:box>
              </m:sub>
            </m:sSub>
          </m:e>
        </m:box>
      </m:oMath>
    </w:p>
    <w:p>
      <w:r>
        <w:rPr>
          <w:b/>
        </w:rPr>
        <w:t xml:space="preserve">Ionization potential — </w:t>
      </w:r>
      <w:r>
        <w:rPr>
          <w:color w:val="718096"/>
          <w:sz w:val="18"/>
        </w:rPr>
        <w:t>Koopmans' theorem: the energy to remove the highest-energy electron.</w:t>
      </w:r>
    </w:p>
    <w:p>
      <w:pPr>
        <w:jc w:val="center"/>
      </w:pPr>
      <m:oMath>
        <m:box>
          <m:e>
            <m:r>
              <m:rPr>
                <m:sty m:val="i"/>
              </m:rPr>
              <m:t>E</m:t>
            </m:r>
            <m:r>
              <m:rPr>
                <m:sty m:val="i"/>
              </m:rPr>
              <m:t>A</m:t>
            </m:r>
            <m:r>
              <m:rPr>
                <m:sty m:val="p"/>
              </m:rPr>
              <m:t>=</m:t>
            </m:r>
            <m:r>
              <m:rPr>
                <m:sty m:val="p"/>
              </m:rPr>
              <m:t>−</m:t>
            </m:r>
            <m:r>
              <m:t/>
            </m:r>
            <m:sSub>
              <m:e>
                <m:r>
                  <m:rPr>
                    <m:sty m:val="i"/>
                  </m:rPr>
                  <m:t>E</m:t>
                </m:r>
              </m:e>
              <m:sub>
                <m:box>
                  <m:e>
                    <m:r>
                      <m:rPr>
                        <m:sty m:val="i"/>
                      </m:rPr>
                      <m:t>L</m:t>
                    </m:r>
                    <m:r>
                      <m:rPr>
                        <m:sty m:val="i"/>
                      </m:rPr>
                      <m:t>U</m:t>
                    </m:r>
                    <m:r>
                      <m:rPr>
                        <m:sty m:val="i"/>
                      </m:rPr>
                      <m:t>M</m:t>
                    </m:r>
                    <m:r>
                      <m:rPr>
                        <m:sty m:val="i"/>
                      </m:rPr>
                      <m:t>O</m:t>
                    </m:r>
                  </m:e>
                </m:box>
              </m:sub>
            </m:sSub>
          </m:e>
        </m:box>
      </m:oMath>
    </w:p>
    <w:p>
      <w:r>
        <w:rPr>
          <w:b/>
        </w:rPr>
        <w:t xml:space="preserve">Electron affinity — </w:t>
      </w:r>
      <w:r>
        <w:rPr>
          <w:color w:val="718096"/>
          <w:sz w:val="18"/>
        </w:rPr>
        <w:t>Koopmans' theorem: the energy released on adding an electron.</w:t>
      </w:r>
    </w:p>
    <w:p>
      <w:pPr>
        <w:jc w:val="center"/>
      </w:pPr>
      <m:oMath>
        <m:box>
          <m:e>
            <m:r>
              <m:rPr>
                <m:sty m:val="i"/>
              </m:rPr>
              <m:t>χ</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e>
        </m:box>
      </m:oMath>
    </w:p>
    <w:p>
      <w:r>
        <w:rPr>
          <w:b/>
        </w:rPr>
        <w:t xml:space="preserve">Electronegativity χ — </w:t>
      </w:r>
      <w:r>
        <w:rPr>
          <w:color w:val="718096"/>
          <w:sz w:val="18"/>
        </w:rPr>
        <w:t>Mulliken electronegativity; drives the direction of charge transfer to the metal.</w:t>
      </w:r>
    </w:p>
    <w:p>
      <w:pPr>
        <w:jc w:val="center"/>
      </w:pPr>
      <m:oMath>
        <m:box>
          <m:e>
            <m:r>
              <m:rPr>
                <m:sty m:val="i"/>
              </m:rPr>
              <m:t>η</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r>
              <m:rPr>
                <m:sty m:val="p"/>
              </m:rPr>
              <m:t>=</m:t>
            </m:r>
            <m:f>
              <m:num>
                <m:box>
                  <m:e>
                    <m:sSub>
                      <m:e>
                        <m:r>
                          <m:rPr>
                            <m:sty m:val="i"/>
                          </m:rPr>
                          <m:t>E</m:t>
                        </m:r>
                      </m:e>
                      <m:sub>
                        <m:box>
                          <m:e>
                            <m:r>
                              <m:rPr>
                                <m:sty m:val="i"/>
                              </m:rPr>
                              <m:t>g</m:t>
                            </m:r>
                            <m:r>
                              <m:rPr>
                                <m:sty m:val="i"/>
                              </m:rPr>
                              <m:t>a</m:t>
                            </m:r>
                            <m:r>
                              <m:rPr>
                                <m:sty m:val="i"/>
                              </m:rPr>
                              <m:t>p</m:t>
                            </m:r>
                          </m:e>
                        </m:box>
                      </m:sub>
                    </m:sSub>
                  </m:e>
                </m:box>
              </m:num>
              <m:den>
                <m:box>
                  <m:e>
                    <m:r>
                      <m:rPr>
                        <m:sty m:val="p"/>
                      </m:rPr>
                      <m:t>2</m:t>
                    </m:r>
                  </m:e>
                </m:box>
              </m:den>
            </m:f>
          </m:e>
        </m:box>
      </m:oMath>
    </w:p>
    <w:p>
      <w:r>
        <w:rPr>
          <w:b/>
        </w:rPr>
        <w:t xml:space="preserve">Chemical hardness η — </w:t>
      </w:r>
      <w:r>
        <w:rPr>
          <w:color w:val="718096"/>
          <w:sz w:val="18"/>
        </w:rPr>
        <w:t>Resistance to charge redistribution; softer (lower η) molecules adsorb more readily.</w:t>
      </w:r>
    </w:p>
    <w:p>
      <w:pPr>
        <w:jc w:val="center"/>
      </w:pPr>
      <m:oMath>
        <m:box>
          <m:e>
            <m:r>
              <m:rPr>
                <m:sty m:val="i"/>
              </m:rPr>
              <m:t>σ</m:t>
            </m:r>
            <m:r>
              <m:rPr>
                <m:sty m:val="p"/>
              </m:rPr>
              <m:t>=</m:t>
            </m:r>
            <m:f>
              <m:num>
                <m:box>
                  <m:e>
                    <m:r>
                      <m:rPr>
                        <m:sty m:val="p"/>
                      </m:rPr>
                      <m:t>1</m:t>
                    </m:r>
                  </m:e>
                </m:box>
              </m:num>
              <m:den>
                <m:box>
                  <m:e>
                    <m:r>
                      <m:rPr>
                        <m:sty m:val="i"/>
                      </m:rPr>
                      <m:t>η</m:t>
                    </m:r>
                  </m:e>
                </m:box>
              </m:den>
            </m:f>
          </m:e>
        </m:box>
      </m:oMath>
    </w:p>
    <w:p>
      <w:r>
        <w:rPr>
          <w:b/>
        </w:rPr>
        <w:t xml:space="preserve">Chemical softness σ — </w:t>
      </w:r>
      <w:r>
        <w:rPr>
          <w:color w:val="718096"/>
          <w:sz w:val="18"/>
        </w:rPr>
        <w:t>Inverse hardness; higher σ tracks stronger adsorption.</w:t>
      </w:r>
    </w:p>
    <w:p>
      <w:pPr>
        <w:jc w:val="center"/>
      </w:pPr>
      <m:oMath>
        <m:box>
          <m:e>
            <m:r>
              <m:rPr>
                <m:sty m:val="i"/>
              </m:rPr>
              <m:t>μ</m:t>
            </m:r>
            <m:r>
              <m:rPr>
                <m:sty m:val="p"/>
              </m:rPr>
              <m:t>=</m:t>
            </m:r>
            <m:r>
              <m:rPr>
                <m:sty m:val="p"/>
              </m:rPr>
              <m:t>−</m:t>
            </m:r>
            <m:r>
              <m:t/>
            </m:r>
            <m:r>
              <m:rPr>
                <m:sty m:val="i"/>
              </m:rPr>
              <m:t>χ</m:t>
            </m:r>
          </m:e>
        </m:box>
      </m:oMath>
    </w:p>
    <w:p>
      <w:r>
        <w:rPr>
          <w:b/>
        </w:rPr>
        <w:t xml:space="preserve">Chemical potential μ — </w:t>
      </w:r>
      <w:r>
        <w:rPr>
          <w:color w:val="718096"/>
          <w:sz w:val="18"/>
        </w:rPr>
        <w:t>The electronic chemical potential (negative electronegativity).</w:t>
      </w:r>
    </w:p>
    <w:p>
      <w:pPr>
        <w:jc w:val="center"/>
      </w:pPr>
      <m:oMath>
        <m:box>
          <m:e>
            <m:r>
              <m:rPr>
                <m:sty m:val="i"/>
              </m:rPr>
              <m:t>ω</m:t>
            </m:r>
            <m:r>
              <m:rPr>
                <m:sty m:val="p"/>
              </m:rPr>
              <m:t>=</m:t>
            </m:r>
            <m:f>
              <m:num>
                <m:box>
                  <m:e>
                    <m:sSup>
                      <m:e>
                        <m:r>
                          <m:rPr>
                            <m:sty m:val="i"/>
                          </m:rPr>
                          <m:t>μ</m:t>
                        </m:r>
                      </m:e>
                      <m:sup>
                        <m:box>
                          <m:e>
                            <m:r>
                              <m:rPr>
                                <m:sty m:val="p"/>
                              </m:rPr>
                              <m:t>2</m:t>
                            </m:r>
                          </m:e>
                        </m:box>
                      </m:sup>
                    </m:sSup>
                  </m:e>
                </m:box>
              </m:num>
              <m:den>
                <m:box>
                  <m:e>
                    <m:r>
                      <m:rPr>
                        <m:sty m:val="p"/>
                      </m:rPr>
                      <m:t>2</m:t>
                    </m:r>
                    <m:r>
                      <m:t/>
                    </m:r>
                    <m:r>
                      <m:rPr>
                        <m:sty m:val="i"/>
                      </m:rPr>
                      <m:t>η</m:t>
                    </m:r>
                  </m:e>
                </m:box>
              </m:den>
            </m:f>
          </m:e>
        </m:box>
      </m:oMath>
    </w:p>
    <w:p>
      <w:r>
        <w:rPr>
          <w:b/>
        </w:rPr>
        <w:t xml:space="preserve">Electrophilicity ω — </w:t>
      </w:r>
      <w:r>
        <w:rPr>
          <w:color w:val="718096"/>
          <w:sz w:val="18"/>
        </w:rPr>
        <w:t>Propensity to accept electron density (back-donation channel).</w:t>
      </w:r>
    </w:p>
    <w:p>
      <w:pPr>
        <w:jc w:val="center"/>
      </w:pPr>
      <m:oMath>
        <m:box>
          <m:e>
            <m:r>
              <m:rPr>
                <m:sty m:val="i"/>
              </m:rPr>
              <m:t>Δ</m:t>
            </m:r>
            <m:r>
              <m:rPr>
                <m:sty m:val="i"/>
              </m:rPr>
              <m:t>N</m:t>
            </m:r>
            <m:r>
              <m:rPr>
                <m:sty m:val="p"/>
              </m:rPr>
              <m:t>=</m:t>
            </m:r>
            <m:f>
              <m:num>
                <m:box>
                  <m:e>
                    <m:sSub>
                      <m:e>
                        <m:r>
                          <m:rPr>
                            <m:sty m:val="i"/>
                          </m:rPr>
                          <m:t>Φ</m:t>
                        </m:r>
                      </m:e>
                      <m:sub>
                        <m:box>
                          <m:e>
                            <m:r>
                              <m:rPr>
                                <m:sty m:val="i"/>
                              </m:rPr>
                              <m:t>m</m:t>
                            </m:r>
                            <m:r>
                              <m:rPr>
                                <m:sty m:val="i"/>
                              </m:rPr>
                              <m:t>e</m:t>
                            </m:r>
                            <m:r>
                              <m:rPr>
                                <m:sty m:val="i"/>
                              </m:rPr>
                              <m:t>t</m:t>
                            </m:r>
                            <m:r>
                              <m:rPr>
                                <m:sty m:val="i"/>
                              </m:rPr>
                              <m:t>a</m:t>
                            </m:r>
                            <m:r>
                              <m:rPr>
                                <m:sty m:val="i"/>
                              </m:rPr>
                              <m:t>l</m:t>
                            </m:r>
                          </m:e>
                        </m:box>
                      </m:sub>
                    </m:sSub>
                    <m:r>
                      <m:rPr>
                        <m:sty m:val="p"/>
                      </m:rPr>
                      <m:t>−</m:t>
                    </m:r>
                    <m:r>
                      <m:rPr>
                        <m:sty m:val="i"/>
                      </m:rPr>
                      <m:t>χ</m:t>
                    </m:r>
                  </m:e>
                </m:box>
              </m:num>
              <m:den>
                <m:box>
                  <m:e>
                    <m:r>
                      <m:rPr>
                        <m:sty m:val="p"/>
                      </m:rPr>
                      <m:t>2</m:t>
                    </m:r>
                    <m:r>
                      <m:t/>
                    </m:r>
                    <m:r>
                      <m:rPr>
                        <m:sty m:val="p"/>
                      </m:rPr>
                      <m:t>(</m:t>
                    </m:r>
                    <m:sSub>
                      <m:e>
                        <m:r>
                          <m:rPr>
                            <m:sty m:val="i"/>
                          </m:rPr>
                          <m:t>η</m:t>
                        </m:r>
                      </m:e>
                      <m:sub>
                        <m:box>
                          <m:e>
                            <m:r>
                              <m:rPr>
                                <m:sty m:val="i"/>
                              </m:rPr>
                              <m:t>m</m:t>
                            </m:r>
                            <m:r>
                              <m:rPr>
                                <m:sty m:val="i"/>
                              </m:rPr>
                              <m:t>e</m:t>
                            </m:r>
                            <m:r>
                              <m:rPr>
                                <m:sty m:val="i"/>
                              </m:rPr>
                              <m:t>t</m:t>
                            </m:r>
                            <m:r>
                              <m:rPr>
                                <m:sty m:val="i"/>
                              </m:rPr>
                              <m:t>a</m:t>
                            </m:r>
                            <m:r>
                              <m:rPr>
                                <m:sty m:val="i"/>
                              </m:rPr>
                              <m:t>l</m:t>
                            </m:r>
                          </m:e>
                        </m:box>
                      </m:sub>
                    </m:sSub>
                    <m:r>
                      <m:rPr>
                        <m:sty m:val="p"/>
                      </m:rPr>
                      <m:t>+</m:t>
                    </m:r>
                    <m:r>
                      <m:rPr>
                        <m:sty m:val="i"/>
                      </m:rPr>
                      <m:t>η</m:t>
                    </m:r>
                    <m:r>
                      <m:rPr>
                        <m:sty m:val="p"/>
                      </m:rPr>
                      <m:t>)</m:t>
                    </m:r>
                  </m:e>
                </m:box>
              </m:den>
            </m:f>
          </m:e>
        </m:box>
      </m:oMath>
    </w:p>
    <w:p>
      <w:r>
        <w:rPr>
          <w:b/>
        </w:rPr>
        <w:t xml:space="preserve">Fraction of electrons transferred ΔN — </w:t>
      </w:r>
      <w:r>
        <w:rPr>
          <w:color w:val="718096"/>
          <w:sz w:val="18"/>
        </w:rPr>
        <w:t>Charge donated to the metal; the Lukovits window 0 &lt; ΔN &lt; 3.6 marks electron donation that strengthens inhibition. Φ is the metal work function, with η_metal ≈ 0.</w:t>
      </w:r>
    </w:p>
    <w:p>
      <w:pPr>
        <w:jc w:val="center"/>
      </w:pPr>
      <m:oMath>
        <m:box>
          <m:e>
            <m:r>
              <m:rPr>
                <m:sty m:val="i"/>
              </m:rPr>
              <m:t>Δ</m:t>
            </m:r>
            <m:sSub>
              <m:e>
                <m:r>
                  <m:rPr>
                    <m:sty m:val="i"/>
                  </m:rPr>
                  <m:t>E</m:t>
                </m:r>
              </m:e>
              <m:sub>
                <m:box>
                  <m:e>
                    <m:r>
                      <m:rPr>
                        <m:sty m:val="i"/>
                      </m:rPr>
                      <m:t>b</m:t>
                    </m:r>
                    <m:r>
                      <m:rPr>
                        <m:sty m:val="i"/>
                      </m:rPr>
                      <m:t>a</m:t>
                    </m:r>
                    <m:r>
                      <m:rPr>
                        <m:sty m:val="i"/>
                      </m:rPr>
                      <m:t>c</m:t>
                    </m:r>
                    <m:r>
                      <m:rPr>
                        <m:sty m:val="i"/>
                      </m:rPr>
                      <m:t>k</m:t>
                    </m:r>
                  </m:e>
                </m:box>
              </m:sub>
            </m:sSub>
            <m:r>
              <m:rPr>
                <m:sty m:val="p"/>
              </m:rPr>
              <m:t>=</m:t>
            </m:r>
            <m:r>
              <m:rPr>
                <m:sty m:val="p"/>
              </m:rPr>
              <m:t>−</m:t>
            </m:r>
            <m:r>
              <m:t/>
            </m:r>
            <m:f>
              <m:num>
                <m:box>
                  <m:e>
                    <m:r>
                      <m:rPr>
                        <m:sty m:val="i"/>
                      </m:rPr>
                      <m:t>η</m:t>
                    </m:r>
                  </m:e>
                </m:box>
              </m:num>
              <m:den>
                <m:box>
                  <m:e>
                    <m:r>
                      <m:rPr>
                        <m:sty m:val="p"/>
                      </m:rPr>
                      <m:t>4</m:t>
                    </m:r>
                  </m:e>
                </m:box>
              </m:den>
            </m:f>
          </m:e>
        </m:box>
      </m:oMath>
    </w:p>
    <w:p>
      <w:r>
        <w:rPr>
          <w:b/>
        </w:rPr>
        <w:t xml:space="preserve">Back-donation energy ΔE_back — </w:t>
      </w:r>
      <w:r>
        <w:rPr>
          <w:color w:val="718096"/>
          <w:sz w:val="18"/>
        </w:rPr>
        <w:t>Energy of the metal → molecule back-donation that accompanies donor-acceptor adsorption.</w:t>
      </w:r>
    </w:p>
    <w:p>
      <w:pPr>
        <w:pStyle w:val="Heading3"/>
      </w:pPr>
      <w:r>
        <w:t>Stage 1 — local reactivity (condensed Fukui)</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r>
              <m:rPr>
                <m:sty m:val="p"/>
              </m:rPr>
              <m:t>−</m:t>
            </m:r>
            <m:sSub>
              <m:e>
                <m:r>
                  <m:rPr>
                    <m:sty m:val="i"/>
                  </m:rPr>
                  <m:t>q</m:t>
                </m:r>
              </m:e>
              <m:sub>
                <m:box>
                  <m:e>
                    <m:r>
                      <m:rPr>
                        <m:sty m:val="i"/>
                      </m:rPr>
                      <m:t>k</m:t>
                    </m:r>
                  </m:e>
                </m:box>
              </m:sub>
            </m:sSub>
            <m:r>
              <m:rPr>
                <m:sty m:val="p"/>
              </m:rPr>
              <m:t>(</m:t>
            </m:r>
            <m:r>
              <m:rPr>
                <m:sty m:val="i"/>
              </m:rPr>
              <m:t>N</m:t>
            </m:r>
            <m:r>
              <m:rPr>
                <m:sty m:val="p"/>
              </m:rPr>
              <m:t>)</m:t>
            </m:r>
          </m:e>
        </m:box>
      </m:oMath>
    </w:p>
    <w:p>
      <w:r>
        <w:rPr>
          <w:b/>
        </w:rPr>
        <w:t xml:space="preserve">Nucleophilic Fukui f⁻ — </w:t>
      </w:r>
      <w:r>
        <w:rPr>
          <w:color w:val="718096"/>
          <w:sz w:val="18"/>
        </w:rPr>
        <w:t>Per-atom susceptibility to electrophilic attack; the highest-f⁻ oxygens are the electron-donating, metal-coordinating sites.</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e>
        </m:box>
      </m:oMath>
    </w:p>
    <w:p>
      <w:r>
        <w:rPr>
          <w:b/>
        </w:rPr>
        <w:t xml:space="preserve">Electrophilic Fukui f⁺ — </w:t>
      </w:r>
      <w:r>
        <w:rPr>
          <w:color w:val="718096"/>
          <w:sz w:val="18"/>
        </w:rPr>
        <w:t>Per-atom susceptibility to nucleophilic attack; the back-donation (electron-accepting) sites.</w:t>
      </w:r>
    </w:p>
    <w:p>
      <w:pPr>
        <w:jc w:val="center"/>
      </w:pPr>
      <m:oMath>
        <m:box>
          <m:e>
            <m:r>
              <m:rPr>
                <m:sty m:val="i"/>
              </m:rPr>
              <m:t>Δ</m:t>
            </m:r>
            <m:sSub>
              <m:e>
                <m:r>
                  <m:rPr>
                    <m:sty m:val="i"/>
                  </m:rPr>
                  <m:t>f</m:t>
                </m:r>
              </m:e>
              <m:sub>
                <m:box>
                  <m:e>
                    <m:r>
                      <m:rPr>
                        <m:sty m:val="i"/>
                      </m:rPr>
                      <m:t>k</m:t>
                    </m:r>
                  </m:e>
                </m:box>
              </m:sub>
            </m:sSub>
            <m:r>
              <m:rPr>
                <m:sty m:val="p"/>
              </m:rPr>
              <m:t>=</m:t>
            </m:r>
            <m:sSubSup>
              <m:e>
                <m:r>
                  <m:rPr>
                    <m:sty m:val="i"/>
                  </m:rPr>
                  <m:t>f</m:t>
                </m:r>
              </m:e>
              <m:sub>
                <m:box>
                  <m:e>
                    <m:r>
                      <m:rPr>
                        <m:sty m:val="i"/>
                      </m:rPr>
                      <m:t>k</m:t>
                    </m:r>
                  </m:e>
                </m:box>
              </m:sub>
              <m:sup>
                <m:box>
                  <m:e>
                    <m:r>
                      <m:rPr>
                        <m:sty m:val="p"/>
                      </m:rPr>
                      <m:t>+</m:t>
                    </m:r>
                  </m:e>
                </m:box>
              </m:sup>
            </m:sSubSup>
            <m:r>
              <m:rPr>
                <m:sty m:val="p"/>
              </m:rPr>
              <m:t>−</m:t>
            </m:r>
            <m:sSubSup>
              <m:e>
                <m:r>
                  <m:rPr>
                    <m:sty m:val="i"/>
                  </m:rPr>
                  <m:t>f</m:t>
                </m:r>
              </m:e>
              <m:sub>
                <m:box>
                  <m:e>
                    <m:r>
                      <m:rPr>
                        <m:sty m:val="i"/>
                      </m:rPr>
                      <m:t>k</m:t>
                    </m:r>
                  </m:e>
                </m:box>
              </m:sub>
              <m:sup>
                <m:box>
                  <m:e>
                    <m:r>
                      <m:rPr>
                        <m:sty m:val="p"/>
                      </m:rPr>
                      <m:t>−</m:t>
                    </m:r>
                  </m:e>
                </m:box>
              </m:sup>
            </m:sSubSup>
          </m:e>
        </m:box>
      </m:oMath>
    </w:p>
    <w:p>
      <w:r>
        <w:rPr>
          <w:b/>
        </w:rPr>
        <w:t xml:space="preserve">Dual descriptor Δf — </w:t>
      </w:r>
      <w:r>
        <w:rPr>
          <w:color w:val="718096"/>
          <w:sz w:val="18"/>
        </w:rPr>
        <w:t>Δf &lt; 0 marks a net electron donor, Δf &gt; 0 a net acceptor.</w:t>
      </w:r>
    </w:p>
    <w:p>
      <w:pPr>
        <w:pStyle w:val="Heading3"/>
      </w:pPr>
      <w:r>
        <w:t>Acid-base speciation and conjugate-acid pKaH</w:t>
      </w:r>
    </w:p>
    <w:p>
      <w:pPr>
        <w:jc w:val="center"/>
      </w:pPr>
      <m:oMath>
        <m:box>
          <m:e>
            <m:sSub>
              <m:e>
                <m:r>
                  <m:rPr>
                    <m:sty m:val="i"/>
                  </m:rPr>
                  <m:t>f</m:t>
                </m:r>
              </m:e>
              <m:sub>
                <m:box>
                  <m:e>
                    <m:r>
                      <m:rPr>
                        <m:sty m:val="i"/>
                      </m:rPr>
                      <m:t>p</m:t>
                    </m:r>
                    <m:r>
                      <m:rPr>
                        <m:sty m:val="i"/>
                      </m:rPr>
                      <m:t>r</m:t>
                    </m:r>
                    <m:r>
                      <m:rPr>
                        <m:sty m:val="i"/>
                      </m:rPr>
                      <m:t>o</m:t>
                    </m:r>
                    <m:r>
                      <m:rPr>
                        <m:sty m:val="i"/>
                      </m:rPr>
                      <m:t>t</m:t>
                    </m:r>
                  </m:e>
                </m:box>
              </m:sub>
            </m:sSub>
            <m:r>
              <m:rPr>
                <m:sty m:val="p"/>
              </m:rPr>
              <m:t>=</m:t>
            </m:r>
            <m:f>
              <m:num>
                <m:box>
                  <m:e>
                    <m:r>
                      <m:rPr>
                        <m:sty m:val="p"/>
                      </m:rPr>
                      <m:t>1</m:t>
                    </m:r>
                  </m:e>
                </m:box>
              </m:num>
              <m:den>
                <m:box>
                  <m:e>
                    <m:r>
                      <m:rPr>
                        <m:sty m:val="p"/>
                      </m:rPr>
                      <m:t>1</m:t>
                    </m:r>
                    <m:r>
                      <m:rPr>
                        <m:sty m:val="p"/>
                      </m:rPr>
                      <m:t>+</m:t>
                    </m:r>
                    <m:sSup>
                      <m:e>
                        <m:r>
                          <m:rPr>
                            <m:sty m:val="p"/>
                          </m:rPr>
                          <m:t>10</m:t>
                        </m:r>
                      </m:e>
                      <m:sup>
                        <m:box>
                          <m:e>
                            <m:r>
                              <m:t/>
                            </m:r>
                            <m:r>
                              <m:rPr>
                                <m:sty m:val="i"/>
                              </m:rPr>
                              <m:t>p</m:t>
                            </m:r>
                            <m:r>
                              <m:rPr>
                                <m:sty m:val="i"/>
                              </m:rPr>
                              <m:t>H</m:t>
                            </m:r>
                            <m:r>
                              <m:rPr>
                                <m:sty m:val="p"/>
                              </m:rPr>
                              <m:t>−</m:t>
                            </m:r>
                            <m:r>
                              <m:rPr>
                                <m:sty m:val="i"/>
                              </m:rPr>
                              <m:t>p</m:t>
                            </m:r>
                            <m:sSub>
                              <m:e>
                                <m:r>
                                  <m:rPr>
                                    <m:sty m:val="i"/>
                                  </m:rPr>
                                  <m:t>K</m:t>
                                </m:r>
                              </m:e>
                              <m:sub>
                                <m:box>
                                  <m:e>
                                    <m:r>
                                      <m:rPr>
                                        <m:sty m:val="i"/>
                                      </m:rPr>
                                      <m:t>a</m:t>
                                    </m:r>
                                    <m:r>
                                      <m:rPr>
                                        <m:sty m:val="i"/>
                                      </m:rPr>
                                      <m:t>H</m:t>
                                    </m:r>
                                  </m:e>
                                </m:box>
                              </m:sub>
                            </m:sSub>
                          </m:e>
                        </m:box>
                      </m:sup>
                    </m:sSup>
                  </m:e>
                </m:box>
              </m:den>
            </m:f>
          </m:e>
        </m:box>
      </m:oMath>
    </w:p>
    <w:p>
      <w:r>
        <w:rPr>
          <w:b/>
        </w:rPr>
        <w:t xml:space="preserve">Protonated fraction (Henderson-Hasselbalch) — </w:t>
      </w:r>
      <w:r>
        <w:rPr>
          <w:color w:val="718096"/>
          <w:sz w:val="18"/>
        </w:rPr>
        <w:t>Population of the +1 cation at a given pH for a basic site of conjugate-acid pKₐH.</w:t>
      </w:r>
    </w:p>
    <w:p>
      <w:pPr>
        <w:jc w:val="center"/>
      </w:pPr>
      <m:oMath>
        <m:box>
          <m:e>
            <m:r>
              <m:rPr>
                <m:sty m:val="i"/>
              </m:rPr>
              <m:t>p</m:t>
            </m:r>
            <m:sSub>
              <m:e>
                <m:r>
                  <m:rPr>
                    <m:sty m:val="i"/>
                  </m:rPr>
                  <m:t>K</m:t>
                </m:r>
              </m:e>
              <m:sub>
                <m:box>
                  <m:e>
                    <m:r>
                      <m:rPr>
                        <m:sty m:val="i"/>
                      </m:rPr>
                      <m:t>a</m:t>
                    </m:r>
                    <m:r>
                      <m:rPr>
                        <m:sty m:val="i"/>
                      </m:rPr>
                      <m:t>H</m:t>
                    </m:r>
                  </m:e>
                </m:box>
              </m:sub>
            </m:sSub>
            <m:r>
              <m:rPr>
                <m:sty m:val="p"/>
              </m:rPr>
              <m:t>=</m:t>
            </m:r>
            <m:f>
              <m:num>
                <m:box>
                  <m:e>
                    <m:r>
                      <m:rPr>
                        <m:sty m:val="i"/>
                      </m:rPr>
                      <m:t>Δ</m:t>
                    </m:r>
                    <m:sSubSup>
                      <m:e>
                        <m:r>
                          <m:rPr>
                            <m:sty m:val="i"/>
                          </m:rPr>
                          <m:t>G</m:t>
                        </m:r>
                      </m:e>
                      <m:sub>
                        <m:box>
                          <m:e>
                            <m:r>
                              <m:rPr>
                                <m:sty m:val="i"/>
                              </m:rPr>
                              <m:t>a</m:t>
                            </m:r>
                            <m:r>
                              <m:rPr>
                                <m:sty m:val="i"/>
                              </m:rPr>
                              <m:t>q</m:t>
                            </m:r>
                          </m:e>
                        </m:box>
                      </m:sub>
                      <m:sup>
                        <m:box>
                          <m:e>
                            <m:r>
                              <m:rPr>
                                <m:sty m:val="p"/>
                              </m:rPr>
                              <m:t>*</m:t>
                            </m:r>
                          </m:e>
                        </m:box>
                      </m:sup>
                    </m:sSubSup>
                  </m:e>
                </m:box>
              </m:num>
              <m:den>
                <m:box>
                  <m:e>
                    <m:r>
                      <m:rPr>
                        <m:sty m:val="i"/>
                      </m:rPr>
                      <m:t>R</m:t>
                    </m:r>
                    <m:r>
                      <m:rPr>
                        <m:sty m:val="i"/>
                      </m:rPr>
                      <m:t>T</m:t>
                    </m:r>
                    <m:r>
                      <m:t/>
                    </m:r>
                    <m:r>
                      <m:rPr>
                        <m:sty m:val="p"/>
                      </m:rPr>
                      <m:t>ln</m:t>
                    </m:r>
                    <m:r>
                      <m:rPr>
                        <m:sty m:val="p"/>
                      </m:rPr>
                      <m:t>10</m:t>
                    </m:r>
                  </m:e>
                </m:box>
              </m:den>
            </m:f>
          </m:e>
        </m:box>
      </m:oMath>
    </w:p>
    <w:p>
      <w:r>
        <w:rPr>
          <w:b/>
        </w:rPr>
        <w:t xml:space="preserve">pKaH from a DFT cycle — </w:t>
      </w:r>
      <w:r>
        <w:rPr>
          <w:color w:val="718096"/>
          <w:sz w:val="18"/>
        </w:rPr>
        <w:t>Conjugate-acid pKₐH from the aqueous deprotonation free energy.</w:t>
      </w:r>
    </w:p>
    <w:p>
      <w:pPr>
        <w:jc w:val="center"/>
      </w:pPr>
      <m:oMath>
        <m:box>
          <m:e>
            <m:r>
              <m:rPr>
                <m:sty m:val="i"/>
              </m:rPr>
              <m:t>Δ</m:t>
            </m:r>
            <m:sSubSup>
              <m:e>
                <m:r>
                  <m:rPr>
                    <m:sty m:val="i"/>
                  </m:rPr>
                  <m:t>G</m:t>
                </m:r>
              </m:e>
              <m:sub>
                <m:box>
                  <m:e>
                    <m:r>
                      <m:rPr>
                        <m:sty m:val="i"/>
                      </m:rPr>
                      <m:t>a</m:t>
                    </m:r>
                    <m:r>
                      <m:rPr>
                        <m:sty m:val="i"/>
                      </m:rPr>
                      <m:t>q</m:t>
                    </m:r>
                  </m:e>
                </m:box>
              </m:sub>
              <m:sup>
                <m:box>
                  <m:e>
                    <m:r>
                      <m:rPr>
                        <m:sty m:val="p"/>
                      </m:rPr>
                      <m:t>*</m:t>
                    </m:r>
                  </m:e>
                </m:box>
              </m:sup>
            </m:sSubSup>
            <m:r>
              <m:rPr>
                <m:sty m:val="p"/>
              </m:rPr>
              <m:t>=</m:t>
            </m:r>
            <m:sSup>
              <m:e>
                <m:r>
                  <m:rPr>
                    <m:sty m:val="i"/>
                  </m:rPr>
                  <m:t>G</m:t>
                </m:r>
              </m:e>
              <m:sup>
                <m:box>
                  <m:e>
                    <m:r>
                      <m:rPr>
                        <m:sty m:val="p"/>
                      </m:rPr>
                      <m:t>*</m:t>
                    </m:r>
                  </m:e>
                </m:box>
              </m:sup>
            </m:sSup>
            <m:r>
              <m:rPr>
                <m:sty m:val="p"/>
              </m:rPr>
              <m:t>(</m:t>
            </m:r>
            <m:r>
              <m:rPr>
                <m:sty m:val="i"/>
              </m:rPr>
              <m:t>B</m:t>
            </m:r>
            <m:r>
              <m:rPr>
                <m:sty m:val="p"/>
              </m:rPr>
              <m:t>)</m:t>
            </m:r>
            <m:r>
              <m:rPr>
                <m:sty m:val="p"/>
              </m:rPr>
              <m:t>+</m:t>
            </m:r>
            <m:sSup>
              <m:e>
                <m:r>
                  <m:rPr>
                    <m:sty m:val="i"/>
                  </m:rPr>
                  <m:t>G</m:t>
                </m:r>
              </m:e>
              <m:sup>
                <m:box>
                  <m:e>
                    <m:r>
                      <m:rPr>
                        <m:sty m:val="p"/>
                      </m:rPr>
                      <m:t>*</m:t>
                    </m:r>
                  </m:e>
                </m:box>
              </m:sup>
            </m:sSup>
            <m:r>
              <m:rPr>
                <m:sty m:val="p"/>
              </m:rPr>
              <m:t>(</m:t>
            </m:r>
            <m:sSup>
              <m:e>
                <m:r>
                  <m:rPr>
                    <m:sty m:val="i"/>
                  </m:rPr>
                  <m:t>H</m:t>
                </m:r>
              </m:e>
              <m:sup>
                <m:box>
                  <m:e>
                    <m:r>
                      <m:rPr>
                        <m:sty m:val="p"/>
                      </m:rPr>
                      <m:t>+</m:t>
                    </m:r>
                  </m:e>
                </m:box>
              </m:sup>
            </m:sSup>
            <m:r>
              <m:rPr>
                <m:sty m:val="p"/>
              </m:rPr>
              <m:t>)</m:t>
            </m:r>
            <m:r>
              <m:rPr>
                <m:sty m:val="p"/>
              </m:rPr>
              <m:t>−</m:t>
            </m:r>
            <m:sSup>
              <m:e>
                <m:r>
                  <m:rPr>
                    <m:sty m:val="i"/>
                  </m:rPr>
                  <m:t>G</m:t>
                </m:r>
              </m:e>
              <m:sup>
                <m:box>
                  <m:e>
                    <m:r>
                      <m:rPr>
                        <m:sty m:val="p"/>
                      </m:rPr>
                      <m:t>*</m:t>
                    </m:r>
                  </m:e>
                </m:box>
              </m:sup>
            </m:sSup>
            <m:r>
              <m:rPr>
                <m:sty m:val="p"/>
              </m:rPr>
              <m:t>(</m:t>
            </m:r>
            <m:r>
              <m:rPr>
                <m:sty m:val="i"/>
              </m:rPr>
              <m:t>B</m:t>
            </m:r>
            <m:sSup>
              <m:e>
                <m:r>
                  <m:rPr>
                    <m:sty m:val="i"/>
                  </m:rPr>
                  <m:t>H</m:t>
                </m:r>
              </m:e>
              <m:sup>
                <m:box>
                  <m:e>
                    <m:r>
                      <m:rPr>
                        <m:sty m:val="p"/>
                      </m:rPr>
                      <m:t>+</m:t>
                    </m:r>
                  </m:e>
                </m:box>
              </m:sup>
            </m:sSup>
            <m:r>
              <m:rPr>
                <m:sty m:val="p"/>
              </m:rPr>
              <m:t>)</m:t>
            </m:r>
          </m:e>
        </m:box>
      </m:oMath>
    </w:p>
    <w:p>
      <w:r>
        <w:rPr>
          <w:b/>
        </w:rPr>
        <w:t xml:space="preserve">Deprotonation free energy — </w:t>
      </w:r>
      <w:r>
        <w:rPr>
          <w:color w:val="718096"/>
          <w:sz w:val="18"/>
        </w:rPr>
        <w:t>For BH⁺ ⇌ B + H⁺, from ddCOSMO aqueous energies and the standard aqueous proton free energy.</w:t>
      </w:r>
    </w:p>
    <w:p>
      <w:pPr>
        <w:pStyle w:val="Heading3"/>
      </w:pPr>
      <w:r>
        <w:t>Stage 2/3 — adsorption observables</w:t>
      </w:r>
    </w:p>
    <w:p>
      <w:pPr>
        <w:jc w:val="center"/>
      </w:pPr>
      <m:oMath>
        <m:box>
          <m:e>
            <m:sSub>
              <m:e>
                <m:r>
                  <m:rPr>
                    <m:sty m:val="i"/>
                  </m:rPr>
                  <m:t>E</m:t>
                </m:r>
              </m:e>
              <m:sub>
                <m:box>
                  <m:e>
                    <m:r>
                      <m:rPr>
                        <m:sty m:val="i"/>
                      </m:rPr>
                      <m:t>a</m:t>
                    </m:r>
                    <m:r>
                      <m:rPr>
                        <m:sty m:val="i"/>
                      </m:rPr>
                      <m:t>d</m:t>
                    </m:r>
                    <m:r>
                      <m:rPr>
                        <m:sty m:val="i"/>
                      </m:rPr>
                      <m:t>s</m:t>
                    </m:r>
                  </m:e>
                </m:box>
              </m:sub>
            </m:sSub>
            <m:r>
              <m:rPr>
                <m:sty m:val="p"/>
              </m:rPr>
              <m:t>=</m:t>
            </m:r>
            <m:sSub>
              <m:e>
                <m:r>
                  <m:rPr>
                    <m:sty m:val="i"/>
                  </m:rPr>
                  <m:t>E</m:t>
                </m:r>
              </m:e>
              <m:sub>
                <m:box>
                  <m:e>
                    <m:r>
                      <m:rPr>
                        <m:sty m:val="i"/>
                      </m:rPr>
                      <m:t>s</m:t>
                    </m:r>
                    <m:r>
                      <m:rPr>
                        <m:sty m:val="i"/>
                      </m:rPr>
                      <m:t>l</m:t>
                    </m:r>
                    <m:r>
                      <m:rPr>
                        <m:sty m:val="i"/>
                      </m:rPr>
                      <m:t>a</m:t>
                    </m:r>
                    <m:r>
                      <m:rPr>
                        <m:sty m:val="i"/>
                      </m:rPr>
                      <m:t>b</m:t>
                    </m:r>
                    <m:r>
                      <m:rPr>
                        <m:sty m:val="p"/>
                      </m:rPr>
                      <m:t>+</m:t>
                    </m:r>
                    <m:r>
                      <m:rPr>
                        <m:sty m:val="i"/>
                      </m:rPr>
                      <m:t>m</m:t>
                    </m:r>
                    <m:r>
                      <m:rPr>
                        <m:sty m:val="i"/>
                      </m:rPr>
                      <m:t>o</m:t>
                    </m:r>
                    <m:r>
                      <m:rPr>
                        <m:sty m:val="i"/>
                      </m:rPr>
                      <m:t>l</m:t>
                    </m:r>
                  </m:e>
                </m:box>
              </m:sub>
            </m:sSub>
            <m:r>
              <m:rPr>
                <m:sty m:val="p"/>
              </m:rPr>
              <m:t>−</m:t>
            </m:r>
            <m:r>
              <m:rPr>
                <m:sty m:val="p"/>
              </m:rPr>
              <m:t>(</m:t>
            </m:r>
            <m:sSub>
              <m:e>
                <m:r>
                  <m:rPr>
                    <m:sty m:val="i"/>
                  </m:rPr>
                  <m:t>E</m:t>
                </m:r>
              </m:e>
              <m:sub>
                <m:box>
                  <m:e>
                    <m:r>
                      <m:rPr>
                        <m:sty m:val="i"/>
                      </m:rPr>
                      <m:t>s</m:t>
                    </m:r>
                    <m:r>
                      <m:rPr>
                        <m:sty m:val="i"/>
                      </m:rPr>
                      <m:t>l</m:t>
                    </m:r>
                    <m:r>
                      <m:rPr>
                        <m:sty m:val="i"/>
                      </m:rPr>
                      <m:t>a</m:t>
                    </m:r>
                    <m:r>
                      <m:rPr>
                        <m:sty m:val="i"/>
                      </m:rPr>
                      <m:t>b</m:t>
                    </m:r>
                  </m:e>
                </m:box>
              </m:sub>
            </m:sSub>
            <m:r>
              <m:rPr>
                <m:sty m:val="p"/>
              </m:rPr>
              <m:t>+</m:t>
            </m:r>
            <m:sSub>
              <m:e>
                <m:r>
                  <m:rPr>
                    <m:sty m:val="i"/>
                  </m:rPr>
                  <m:t>E</m:t>
                </m:r>
              </m:e>
              <m:sub>
                <m:box>
                  <m:e>
                    <m:r>
                      <m:rPr>
                        <m:sty m:val="i"/>
                      </m:rPr>
                      <m:t>m</m:t>
                    </m:r>
                    <m:r>
                      <m:rPr>
                        <m:sty m:val="i"/>
                      </m:rPr>
                      <m:t>o</m:t>
                    </m:r>
                    <m:r>
                      <m:rPr>
                        <m:sty m:val="i"/>
                      </m:rPr>
                      <m:t>l</m:t>
                    </m:r>
                  </m:e>
                </m:box>
              </m:sub>
            </m:sSub>
            <m:r>
              <m:rPr>
                <m:sty m:val="p"/>
              </m:rPr>
              <m:t>)</m:t>
            </m:r>
          </m:e>
        </m:box>
      </m:oMath>
    </w:p>
    <w:p>
      <w:r>
        <w:rPr>
          <w:b/>
        </w:rPr>
        <w:t xml:space="preserve">Adsorption energy E_ads — </w:t>
      </w:r>
      <w:r>
        <w:rPr>
          <w:color w:val="718096"/>
          <w:sz w:val="18"/>
        </w:rPr>
        <w:t>Interaction energy of the best Monte-Carlo pose; more negative = a stronger grip. Values near −16 kJ/mol indicate physisorption.</w:t>
      </w:r>
    </w:p>
    <w:p>
      <w:pPr>
        <w:jc w:val="center"/>
      </w:pPr>
      <m:oMath>
        <m:box>
          <m:e>
            <m:sSub>
              <m:e>
                <m:r>
                  <m:rPr>
                    <m:sty m:val="i"/>
                  </m:rPr>
                  <m:t>E</m:t>
                </m:r>
              </m:e>
              <m:sub>
                <m:box>
                  <m:e>
                    <m:r>
                      <m:rPr>
                        <m:sty m:val="i"/>
                      </m:rPr>
                      <m:t>a</m:t>
                    </m:r>
                    <m:r>
                      <m:rPr>
                        <m:sty m:val="i"/>
                      </m:rPr>
                      <m:t>d</m:t>
                    </m:r>
                    <m:r>
                      <m:rPr>
                        <m:sty m:val="i"/>
                      </m:rPr>
                      <m:t>s</m:t>
                    </m:r>
                  </m:e>
                </m:box>
              </m:sub>
            </m:sSub>
            <m:r>
              <m:rPr>
                <m:sty m:val="p"/>
              </m:rPr>
              <m:t>[</m:t>
            </m:r>
            <m:box>
              <m:e>
                <m:r>
                  <m:rPr>
                    <m:sty m:val="p"/>
                  </m:rPr>
                  <m:t>k</m:t>
                </m:r>
                <m:r>
                  <m:rPr>
                    <m:sty m:val="p"/>
                  </m:rPr>
                  <m:t>J</m:t>
                </m:r>
                <m:r>
                  <m:t/>
                </m:r>
                <m:r>
                  <m:rPr>
                    <m:sty m:val="p"/>
                  </m:rPr>
                  <m:t>m</m:t>
                </m:r>
                <m:r>
                  <m:rPr>
                    <m:sty m:val="p"/>
                  </m:rPr>
                  <m:t>o</m:t>
                </m:r>
                <m:sSup>
                  <m:e>
                    <m:r>
                      <m:rPr>
                        <m:sty m:val="p"/>
                      </m:rPr>
                      <m:t>l</m:t>
                    </m:r>
                  </m:e>
                  <m:sup>
                    <m:box>
                      <m:e>
                        <m:r>
                          <m:rPr>
                            <m:sty m:val="p"/>
                          </m:rPr>
                          <m:t>−</m:t>
                        </m:r>
                        <m:r>
                          <m:rPr>
                            <m:sty m:val="p"/>
                          </m:rPr>
                          <m:t>1</m:t>
                        </m:r>
                      </m:e>
                    </m:box>
                  </m:sup>
                </m:sSup>
              </m:e>
            </m:box>
            <m:r>
              <m:rPr>
                <m:sty m:val="p"/>
              </m:rPr>
              <m:t>]</m:t>
            </m:r>
            <m:r>
              <m:rPr>
                <m:sty m:val="p"/>
              </m:rPr>
              <m:t>=</m:t>
            </m:r>
            <m:r>
              <m:rPr>
                <m:sty m:val="p"/>
              </m:rPr>
              <m:t>96.485</m:t>
            </m:r>
            <m:r>
              <m:rPr>
                <m:sty m:val="p"/>
              </m:rPr>
              <m:t>×</m:t>
            </m:r>
            <m:sSub>
              <m:e>
                <m:r>
                  <m:rPr>
                    <m:sty m:val="i"/>
                  </m:rPr>
                  <m:t>E</m:t>
                </m:r>
              </m:e>
              <m:sub>
                <m:box>
                  <m:e>
                    <m:r>
                      <m:rPr>
                        <m:sty m:val="i"/>
                      </m:rPr>
                      <m:t>a</m:t>
                    </m:r>
                    <m:r>
                      <m:rPr>
                        <m:sty m:val="i"/>
                      </m:rPr>
                      <m:t>d</m:t>
                    </m:r>
                    <m:r>
                      <m:rPr>
                        <m:sty m:val="i"/>
                      </m:rPr>
                      <m:t>s</m:t>
                    </m:r>
                  </m:e>
                </m:box>
              </m:sub>
            </m:sSub>
            <m:r>
              <m:rPr>
                <m:sty m:val="p"/>
              </m:rPr>
              <m:t>[</m:t>
            </m:r>
            <m:box>
              <m:e>
                <m:r>
                  <m:rPr>
                    <m:sty m:val="p"/>
                  </m:rPr>
                  <m:t>e</m:t>
                </m:r>
                <m:r>
                  <m:rPr>
                    <m:sty m:val="p"/>
                  </m:rPr>
                  <m:t>V</m:t>
                </m:r>
              </m:e>
            </m:box>
            <m:r>
              <m:rPr>
                <m:sty m:val="p"/>
              </m:rPr>
              <m:t>]</m:t>
            </m:r>
          </m:e>
        </m:box>
      </m:oMath>
    </w:p>
    <w:p>
      <w:r>
        <w:rPr>
          <w:b/>
        </w:rPr>
        <w:t xml:space="preserve">Unit conversion — </w:t>
      </w:r>
      <w:r>
        <w:rPr>
          <w:color w:val="718096"/>
          <w:sz w:val="18"/>
        </w:rPr>
        <w:t>The Monte-Carlo objective is reported in kJ/mol.</w:t>
      </w:r>
    </w:p>
    <w:p>
      <w:pPr>
        <w:jc w:val="center"/>
      </w:pPr>
      <m:oMath>
        <m:box>
          <m:e>
            <m:sSup>
              <m:e>
                <m:r>
                  <m:rPr>
                    <m:sty m:val="i"/>
                  </m:rPr>
                  <m:t>r</m:t>
                </m:r>
              </m:e>
              <m:sup>
                <m:box>
                  <m:e>
                    <m:r>
                      <m:rPr>
                        <m:sty m:val="p"/>
                      </m:rPr>
                      <m:t>*</m:t>
                    </m:r>
                  </m:e>
                </m:box>
              </m:sup>
            </m:sSup>
            <m:r>
              <m:rPr>
                <m:sty m:val="p"/>
              </m:rPr>
              <m:t>=</m:t>
            </m:r>
            <m:r>
              <m:rPr>
                <m:sty m:val="p"/>
              </m:rPr>
              <m:t>\arg</m:t>
            </m:r>
            <m:sSub>
              <m:e>
                <m:r>
                  <m:rPr>
                    <m:sty m:val="p"/>
                  </m:rPr>
                  <m:t>max</m:t>
                </m:r>
              </m:e>
              <m:sub>
                <m:box>
                  <m:e>
                    <m:r>
                      <m:rPr>
                        <m:sty m:val="i"/>
                      </m:rPr>
                      <m:t>r</m:t>
                    </m:r>
                  </m:e>
                </m:box>
              </m:sub>
            </m:sSub>
            <m:r>
              <m:t/>
            </m:r>
            <m:sSub>
              <m:e>
                <m:r>
                  <m:rPr>
                    <m:sty m:val="i"/>
                  </m:rPr>
                  <m:t>g</m:t>
                </m:r>
              </m:e>
              <m:sub>
                <m:box>
                  <m:e>
                    <m:r>
                      <m:rPr>
                        <m:sty m:val="i"/>
                      </m:rPr>
                      <m:t>M</m:t>
                    </m:r>
                    <m:r>
                      <m:rPr>
                        <m:sty m:val="p"/>
                      </m:rPr>
                      <m:t>−</m:t>
                    </m:r>
                    <m:r>
                      <m:rPr>
                        <m:sty m:val="i"/>
                      </m:rPr>
                      <m:t>O</m:t>
                    </m:r>
                  </m:e>
                </m:box>
              </m:sub>
            </m:sSub>
            <m:r>
              <m:rPr>
                <m:sty m:val="p"/>
              </m:rPr>
              <m:t>(</m:t>
            </m:r>
            <m:r>
              <m:rPr>
                <m:sty m:val="i"/>
              </m:rPr>
              <m:t>r</m:t>
            </m:r>
            <m:r>
              <m:rPr>
                <m:sty m:val="p"/>
              </m:rPr>
              <m:t>)</m:t>
            </m:r>
          </m:e>
        </m:box>
      </m:oMath>
    </w:p>
    <w:p>
      <w:r>
        <w:rPr>
          <w:b/>
        </w:rPr>
        <w:t xml:space="preserve">Adsorption distance r* — </w:t>
      </w:r>
      <w:r>
        <w:rPr>
          <w:color w:val="718096"/>
          <w:sz w:val="18"/>
        </w:rPr>
        <w:t>First-peak position of the metal-O radial distribution g(r) from the Brownian-MD trajectory; r* ≈ 3.5 Å is physisorption range.</w:t>
      </w:r>
    </w:p>
    <w:p>
      <w:pPr>
        <w:pStyle w:val="Heading2"/>
      </w:pPr>
      <w:r>
        <w:t>6.2 Descriptor results (B3LYP/6-311++G(d,p), neutral, aqueous)</w:t>
      </w:r>
    </w:p>
    <w:p>
      <w:r>
        <w:rPr>
          <w:b w:val="0"/>
        </w:rPr>
        <w:t xml:space="preserve">All three flavonoids show a positive ΔN inside the Lukovits window (0 &lt; ΔN &lt; 3.6): they donate electron density to the steel. </w:t>
      </w:r>
      <w:r>
        <w:rPr>
          <w:b/>
        </w:rPr>
        <w:t>Quercetin</w:t>
      </w:r>
      <w:r>
        <w:rPr>
          <w:b w:val="0"/>
        </w:rPr>
        <w:t xml:space="preserve"> has the smallest gap and highest softness (the composite lead); </w:t>
      </w:r>
      <w:r>
        <w:rPr>
          <w:b/>
        </w:rPr>
        <w:t>isorhamnetin</w:t>
      </w:r>
      <w:r>
        <w:rPr>
          <w:b w:val="0"/>
        </w:rPr>
        <w:t xml:space="preserve"> has the highest ΔN and total negative charge (electron-richest, via its methoxy group); kaempferol is third.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Molecule</w:t>
            </w:r>
          </w:p>
        </w:tc>
        <w:tc>
          <w:tcPr>
            <w:tcW w:type="dxa" w:w="1234"/>
          </w:tcPr>
          <w:p>
            <w:r>
              <w:rPr>
                <w:b/>
                <w:sz w:val="17"/>
              </w:rPr>
              <w:t>HOMO (eV)</w:t>
            </w:r>
          </w:p>
        </w:tc>
        <w:tc>
          <w:tcPr>
            <w:tcW w:type="dxa" w:w="1234"/>
          </w:tcPr>
          <w:p>
            <w:r>
              <w:rPr>
                <w:b/>
                <w:sz w:val="17"/>
              </w:rPr>
              <w:t>LUMO (eV)</w:t>
            </w:r>
          </w:p>
        </w:tc>
        <w:tc>
          <w:tcPr>
            <w:tcW w:type="dxa" w:w="1234"/>
          </w:tcPr>
          <w:p>
            <w:r>
              <w:rPr>
                <w:b/>
                <w:sz w:val="17"/>
              </w:rPr>
              <w:t>Gap (eV)</w:t>
            </w:r>
          </w:p>
        </w:tc>
        <w:tc>
          <w:tcPr>
            <w:tcW w:type="dxa" w:w="1234"/>
          </w:tcPr>
          <w:p>
            <w:r>
              <w:rPr>
                <w:b/>
                <w:sz w:val="17"/>
              </w:rPr>
              <w:t>η (eV)</w:t>
            </w:r>
          </w:p>
        </w:tc>
        <w:tc>
          <w:tcPr>
            <w:tcW w:type="dxa" w:w="1234"/>
          </w:tcPr>
          <w:p>
            <w:r>
              <w:rPr>
                <w:b/>
                <w:sz w:val="17"/>
              </w:rPr>
              <w:t>ΔN</w:t>
            </w:r>
          </w:p>
        </w:tc>
        <w:tc>
          <w:tcPr>
            <w:tcW w:type="dxa" w:w="1234"/>
          </w:tcPr>
          <w:p>
            <w:r>
              <w:rPr>
                <w:b/>
                <w:sz w:val="17"/>
              </w:rPr>
              <w:t>TNC</w:t>
            </w:r>
          </w:p>
        </w:tc>
      </w:tr>
      <w:tr>
        <w:tc>
          <w:tcPr>
            <w:tcW w:type="dxa" w:w="1234"/>
          </w:tcPr>
          <w:p>
            <w:r>
              <w:rPr>
                <w:b w:val="0"/>
                <w:sz w:val="17"/>
              </w:rPr>
              <w:t>quercetin</w:t>
            </w:r>
          </w:p>
        </w:tc>
        <w:tc>
          <w:tcPr>
            <w:tcW w:type="dxa" w:w="1234"/>
          </w:tcPr>
          <w:p>
            <w:r>
              <w:rPr>
                <w:b w:val="0"/>
                <w:sz w:val="17"/>
              </w:rPr>
              <w:t>−6.134</w:t>
            </w:r>
          </w:p>
        </w:tc>
        <w:tc>
          <w:tcPr>
            <w:tcW w:type="dxa" w:w="1234"/>
          </w:tcPr>
          <w:p>
            <w:r>
              <w:rPr>
                <w:b w:val="0"/>
                <w:sz w:val="17"/>
              </w:rPr>
              <w:t>−2.052</w:t>
            </w:r>
          </w:p>
        </w:tc>
        <w:tc>
          <w:tcPr>
            <w:tcW w:type="dxa" w:w="1234"/>
          </w:tcPr>
          <w:p>
            <w:r>
              <w:rPr>
                <w:b w:val="0"/>
                <w:sz w:val="17"/>
              </w:rPr>
              <w:t>4.082</w:t>
            </w:r>
          </w:p>
        </w:tc>
        <w:tc>
          <w:tcPr>
            <w:tcW w:type="dxa" w:w="1234"/>
          </w:tcPr>
          <w:p>
            <w:r>
              <w:rPr>
                <w:b w:val="0"/>
                <w:sz w:val="17"/>
              </w:rPr>
              <w:t>2.041</w:t>
            </w:r>
          </w:p>
        </w:tc>
        <w:tc>
          <w:tcPr>
            <w:tcW w:type="dxa" w:w="1234"/>
          </w:tcPr>
          <w:p>
            <w:r>
              <w:rPr>
                <w:b w:val="0"/>
                <w:sz w:val="17"/>
              </w:rPr>
              <w:t>+0.178</w:t>
            </w:r>
          </w:p>
        </w:tc>
        <w:tc>
          <w:tcPr>
            <w:tcW w:type="dxa" w:w="1234"/>
          </w:tcPr>
          <w:p>
            <w:r>
              <w:rPr>
                <w:b w:val="0"/>
                <w:sz w:val="17"/>
              </w:rPr>
              <w:t>−4.71</w:t>
            </w:r>
          </w:p>
        </w:tc>
      </w:tr>
      <w:tr>
        <w:tc>
          <w:tcPr>
            <w:tcW w:type="dxa" w:w="1234"/>
          </w:tcPr>
          <w:p>
            <w:r>
              <w:rPr>
                <w:b w:val="0"/>
                <w:sz w:val="17"/>
              </w:rPr>
              <w:t>isorhamnetin</w:t>
            </w:r>
          </w:p>
        </w:tc>
        <w:tc>
          <w:tcPr>
            <w:tcW w:type="dxa" w:w="1234"/>
          </w:tcPr>
          <w:p>
            <w:r>
              <w:rPr>
                <w:b w:val="0"/>
                <w:sz w:val="17"/>
              </w:rPr>
              <w:t>−6.009</w:t>
            </w:r>
          </w:p>
        </w:tc>
        <w:tc>
          <w:tcPr>
            <w:tcW w:type="dxa" w:w="1234"/>
          </w:tcPr>
          <w:p>
            <w:r>
              <w:rPr>
                <w:b w:val="0"/>
                <w:sz w:val="17"/>
              </w:rPr>
              <w:t>−1.910</w:t>
            </w:r>
          </w:p>
        </w:tc>
        <w:tc>
          <w:tcPr>
            <w:tcW w:type="dxa" w:w="1234"/>
          </w:tcPr>
          <w:p>
            <w:r>
              <w:rPr>
                <w:b w:val="0"/>
                <w:sz w:val="17"/>
              </w:rPr>
              <w:t>4.099</w:t>
            </w:r>
          </w:p>
        </w:tc>
        <w:tc>
          <w:tcPr>
            <w:tcW w:type="dxa" w:w="1234"/>
          </w:tcPr>
          <w:p>
            <w:r>
              <w:rPr>
                <w:b w:val="0"/>
                <w:sz w:val="17"/>
              </w:rPr>
              <w:t>2.049</w:t>
            </w:r>
          </w:p>
        </w:tc>
        <w:tc>
          <w:tcPr>
            <w:tcW w:type="dxa" w:w="1234"/>
          </w:tcPr>
          <w:p>
            <w:r>
              <w:rPr>
                <w:b w:val="0"/>
                <w:sz w:val="17"/>
              </w:rPr>
              <w:t>+0.210</w:t>
            </w:r>
          </w:p>
        </w:tc>
        <w:tc>
          <w:tcPr>
            <w:tcW w:type="dxa" w:w="1234"/>
          </w:tcPr>
          <w:p>
            <w:r>
              <w:rPr>
                <w:b w:val="0"/>
                <w:sz w:val="17"/>
              </w:rPr>
              <w:t>−5.52</w:t>
            </w:r>
          </w:p>
        </w:tc>
      </w:tr>
      <w:tr>
        <w:tc>
          <w:tcPr>
            <w:tcW w:type="dxa" w:w="1234"/>
          </w:tcPr>
          <w:p>
            <w:r>
              <w:rPr>
                <w:b w:val="0"/>
                <w:sz w:val="17"/>
              </w:rPr>
              <w:t>kaempferol</w:t>
            </w:r>
          </w:p>
        </w:tc>
        <w:tc>
          <w:tcPr>
            <w:tcW w:type="dxa" w:w="1234"/>
          </w:tcPr>
          <w:p>
            <w:r>
              <w:rPr>
                <w:b w:val="0"/>
                <w:sz w:val="17"/>
              </w:rPr>
              <w:t>−6.193</w:t>
            </w:r>
          </w:p>
        </w:tc>
        <w:tc>
          <w:tcPr>
            <w:tcW w:type="dxa" w:w="1234"/>
          </w:tcPr>
          <w:p>
            <w:r>
              <w:rPr>
                <w:b w:val="0"/>
                <w:sz w:val="17"/>
              </w:rPr>
              <w:t>−2.047</w:t>
            </w:r>
          </w:p>
        </w:tc>
        <w:tc>
          <w:tcPr>
            <w:tcW w:type="dxa" w:w="1234"/>
          </w:tcPr>
          <w:p>
            <w:r>
              <w:rPr>
                <w:b w:val="0"/>
                <w:sz w:val="17"/>
              </w:rPr>
              <w:t>4.146</w:t>
            </w:r>
          </w:p>
        </w:tc>
        <w:tc>
          <w:tcPr>
            <w:tcW w:type="dxa" w:w="1234"/>
          </w:tcPr>
          <w:p>
            <w:r>
              <w:rPr>
                <w:b w:val="0"/>
                <w:sz w:val="17"/>
              </w:rPr>
              <w:t>2.073</w:t>
            </w:r>
          </w:p>
        </w:tc>
        <w:tc>
          <w:tcPr>
            <w:tcW w:type="dxa" w:w="1234"/>
          </w:tcPr>
          <w:p>
            <w:r>
              <w:rPr>
                <w:b w:val="0"/>
                <w:sz w:val="17"/>
              </w:rPr>
              <w:t>+0.169</w:t>
            </w:r>
          </w:p>
        </w:tc>
        <w:tc>
          <w:tcPr>
            <w:tcW w:type="dxa" w:w="1234"/>
          </w:tcPr>
          <w:p>
            <w:r>
              <w:rPr>
                <w:b w:val="0"/>
                <w:sz w:val="17"/>
              </w:rPr>
              <w:t>−4.42</w:t>
            </w:r>
          </w:p>
        </w:tc>
      </w:tr>
    </w:tbl>
    <w:p>
      <w:r>
        <w:rPr>
          <w:b w:val="0"/>
          <w:color w:val="718096"/>
          <w:sz w:val="16"/>
        </w:rPr>
        <w:t>Stage-1 DFT descriptors. Smallest gap = quercetin; highest ΔN/TNC = isorhamnetin.</w:t>
      </w:r>
    </w:p>
    <w:p>
      <w:pPr>
        <w:pStyle w:val="Heading2"/>
      </w:pPr>
      <w:r>
        <w:t>6.3 Protonation resolved by a computed pKaH</w:t>
      </w:r>
    </w:p>
    <w:p>
      <w:r>
        <w:rPr>
          <w:b w:val="0"/>
        </w:rPr>
        <w:t xml:space="preserve">The most basic site is the 4-oxo carbonyl, a very weak base. A frequency-corrected DFT deprotonation cycle (B3LYP/6-311++G(d,p) + ddCOSMO on gas opt+freq geometries) gives pKaH ≈ </w:t>
      </w:r>
      <w:r>
        <w:rPr>
          <w:b/>
        </w:rPr>
        <w:t>−13.3</w:t>
      </w:r>
      <w:r>
        <w:rPr>
          <w:b w:val="0"/>
        </w:rPr>
        <w:t xml:space="preserve"> (quercetin), −12.9 (kaempferol) and −5.1 (isorhamnetin) — all far below the 5–7% crossover — so every flavonoid is under 0.1% protonated in 1 M HCl. The neutral form is physically dominant, so the neutral-basis ranking is robust, not merely conventional; the ZPE/thermal/entropy correction moved every value more negative (more neutral) than the uncorrected cycle.</w:t>
      </w:r>
    </w:p>
    <w:p>
      <w:r>
        <w:rPr>
          <w:b w:val="0"/>
        </w:rPr>
        <w:t>*Caveat:* quercetin and kaempferol are clean minima (no imaginary frequencies); the isorhamnetin cation retained one small imaginary mode (a methoxy/hydroxyl torsion), so its value is less tightly determined — but it stays neutral and is not the lead. The lead (quercetin) rests on a clean, imaginary-frequency-free calculation.</w:t>
      </w:r>
    </w:p>
    <w:p>
      <w:pPr>
        <w:pStyle w:val="Heading2"/>
      </w:pPr>
      <w:r>
        <w:t>6.4 Cross-check against published Fe(110) studies</w:t>
      </w:r>
    </w:p>
    <w:p>
      <w:r>
        <w:rPr>
          <w:b w:val="0"/>
        </w:rPr>
        <w:t>corrosim's Stage-2 adsorption energies (−16.0 / −16.6 / −16.7 kJ/mol for quercetin / kaempferol / isorhamnetin) and Stage-3 Fe-O RDF first peaks (3.65 / 3.35 / 3.75 Å) agree with an independent black-tea-extract DFT study on Fe(110) (ΔGads ≈ −20 kJ/mol, quercetin strongest) and a lady's-mantle study (kaempferol reference) — same regime, same order.</w:t>
      </w:r>
    </w:p>
    <w:p>
      <w:pPr>
        <w:pStyle w:val="Heading2"/>
      </w:pPr>
      <w:r>
        <w:t>6.5 Experimental anchor — Mohammed 2014 (Arghel on mild steel, 1 M HCl)</w:t>
      </w:r>
    </w:p>
    <w:p>
      <w:r>
        <w:rPr>
          <w:b w:val="0"/>
        </w:rPr>
        <w:t xml:space="preserve">A direct experiment on the *same* system (Arghel methanolic extract on mild steel in 1 M HCl, 27 °C; PDP + EIS) reports inhibition efficiency rising to </w:t>
      </w:r>
      <w:r>
        <w:rPr>
          <w:b/>
        </w:rPr>
        <w:t>99.62%</w:t>
      </w:r>
      <w:r>
        <w:rPr>
          <w:b w:val="0"/>
        </w:rPr>
        <w:t xml:space="preserve"> at 150 ppm, with a Langmuir adsorption free energy ΔG°ads ≈ −32.5 to −34.5 kJ/mol and a small (+26 mV) E_corr shift — a mixed-type inhibitor adsorbing physically. This validates the medium, the substrate, the overall efficacy and the physisorption mechanism.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C_inh (ppm)</w:t>
            </w:r>
          </w:p>
        </w:tc>
        <w:tc>
          <w:tcPr>
            <w:tcW w:type="dxa" w:w="1440"/>
          </w:tcPr>
          <w:p>
            <w:r>
              <w:rPr>
                <w:b/>
                <w:sz w:val="17"/>
              </w:rPr>
              <w:t>I_corr (µA/cm²)</w:t>
            </w:r>
          </w:p>
        </w:tc>
        <w:tc>
          <w:tcPr>
            <w:tcW w:type="dxa" w:w="1440"/>
          </w:tcPr>
          <w:p>
            <w:r>
              <w:rPr>
                <w:b/>
                <w:sz w:val="17"/>
              </w:rPr>
              <w:t>−E_corr (mV)</w:t>
            </w:r>
          </w:p>
        </w:tc>
        <w:tc>
          <w:tcPr>
            <w:tcW w:type="dxa" w:w="1440"/>
          </w:tcPr>
          <w:p>
            <w:r>
              <w:rPr>
                <w:b/>
                <w:sz w:val="17"/>
              </w:rPr>
              <w:t>IE% (PDP)</w:t>
            </w:r>
          </w:p>
        </w:tc>
        <w:tc>
          <w:tcPr>
            <w:tcW w:type="dxa" w:w="1440"/>
          </w:tcPr>
          <w:p>
            <w:r>
              <w:rPr>
                <w:b/>
                <w:sz w:val="17"/>
              </w:rPr>
              <w:t>R_ct (Ω·cm²)</w:t>
            </w:r>
          </w:p>
        </w:tc>
        <w:tc>
          <w:tcPr>
            <w:tcW w:type="dxa" w:w="1440"/>
          </w:tcPr>
          <w:p>
            <w:r>
              <w:rPr>
                <w:b/>
                <w:sz w:val="17"/>
              </w:rPr>
              <w:t>IE% (EIS)</w:t>
            </w:r>
          </w:p>
        </w:tc>
      </w:tr>
      <w:tr>
        <w:tc>
          <w:tcPr>
            <w:tcW w:type="dxa" w:w="1440"/>
          </w:tcPr>
          <w:p>
            <w:r>
              <w:rPr>
                <w:b w:val="0"/>
                <w:sz w:val="17"/>
              </w:rPr>
              <w:t>blank</w:t>
            </w:r>
          </w:p>
        </w:tc>
        <w:tc>
          <w:tcPr>
            <w:tcW w:type="dxa" w:w="1440"/>
          </w:tcPr>
          <w:p>
            <w:r>
              <w:rPr>
                <w:b w:val="0"/>
                <w:sz w:val="17"/>
              </w:rPr>
              <w:t>447.0</w:t>
            </w:r>
          </w:p>
        </w:tc>
        <w:tc>
          <w:tcPr>
            <w:tcW w:type="dxa" w:w="1440"/>
          </w:tcPr>
          <w:p>
            <w:r>
              <w:rPr>
                <w:b w:val="0"/>
                <w:sz w:val="17"/>
              </w:rPr>
              <w:t>496</w:t>
            </w:r>
          </w:p>
        </w:tc>
        <w:tc>
          <w:tcPr>
            <w:tcW w:type="dxa" w:w="1440"/>
          </w:tcPr>
          <w:p>
            <w:r>
              <w:rPr>
                <w:b w:val="0"/>
                <w:sz w:val="17"/>
              </w:rPr>
              <w:t>—</w:t>
            </w:r>
          </w:p>
        </w:tc>
        <w:tc>
          <w:tcPr>
            <w:tcW w:type="dxa" w:w="1440"/>
          </w:tcPr>
          <w:p>
            <w:r>
              <w:rPr>
                <w:b w:val="0"/>
                <w:sz w:val="17"/>
              </w:rPr>
              <w:t>11.78</w:t>
            </w:r>
          </w:p>
        </w:tc>
        <w:tc>
          <w:tcPr>
            <w:tcW w:type="dxa" w:w="1440"/>
          </w:tcPr>
          <w:p>
            <w:r>
              <w:rPr>
                <w:b w:val="0"/>
                <w:sz w:val="17"/>
              </w:rPr>
              <w:t>—</w:t>
            </w:r>
          </w:p>
        </w:tc>
      </w:tr>
      <w:tr>
        <w:tc>
          <w:tcPr>
            <w:tcW w:type="dxa" w:w="1440"/>
          </w:tcPr>
          <w:p>
            <w:r>
              <w:rPr>
                <w:b w:val="0"/>
                <w:sz w:val="17"/>
              </w:rPr>
              <w:t>25</w:t>
            </w:r>
          </w:p>
        </w:tc>
        <w:tc>
          <w:tcPr>
            <w:tcW w:type="dxa" w:w="1440"/>
          </w:tcPr>
          <w:p>
            <w:r>
              <w:rPr>
                <w:b w:val="0"/>
                <w:sz w:val="17"/>
              </w:rPr>
              <w:t>14.7</w:t>
            </w:r>
          </w:p>
        </w:tc>
        <w:tc>
          <w:tcPr>
            <w:tcW w:type="dxa" w:w="1440"/>
          </w:tcPr>
          <w:p>
            <w:r>
              <w:rPr>
                <w:b w:val="0"/>
                <w:sz w:val="17"/>
              </w:rPr>
              <w:t>484</w:t>
            </w:r>
          </w:p>
        </w:tc>
        <w:tc>
          <w:tcPr>
            <w:tcW w:type="dxa" w:w="1440"/>
          </w:tcPr>
          <w:p>
            <w:r>
              <w:rPr>
                <w:b w:val="0"/>
                <w:sz w:val="17"/>
              </w:rPr>
              <w:t>96.71</w:t>
            </w:r>
          </w:p>
        </w:tc>
        <w:tc>
          <w:tcPr>
            <w:tcW w:type="dxa" w:w="1440"/>
          </w:tcPr>
          <w:p>
            <w:r>
              <w:rPr>
                <w:b w:val="0"/>
                <w:sz w:val="17"/>
              </w:rPr>
              <w:t>126.4</w:t>
            </w:r>
          </w:p>
        </w:tc>
        <w:tc>
          <w:tcPr>
            <w:tcW w:type="dxa" w:w="1440"/>
          </w:tcPr>
          <w:p>
            <w:r>
              <w:rPr>
                <w:b w:val="0"/>
                <w:sz w:val="17"/>
              </w:rPr>
              <w:t>90.68</w:t>
            </w:r>
          </w:p>
        </w:tc>
      </w:tr>
      <w:tr>
        <w:tc>
          <w:tcPr>
            <w:tcW w:type="dxa" w:w="1440"/>
          </w:tcPr>
          <w:p>
            <w:r>
              <w:rPr>
                <w:b w:val="0"/>
                <w:sz w:val="17"/>
              </w:rPr>
              <w:t>50</w:t>
            </w:r>
          </w:p>
        </w:tc>
        <w:tc>
          <w:tcPr>
            <w:tcW w:type="dxa" w:w="1440"/>
          </w:tcPr>
          <w:p>
            <w:r>
              <w:rPr>
                <w:b w:val="0"/>
                <w:sz w:val="17"/>
              </w:rPr>
              <w:t>10.67</w:t>
            </w:r>
          </w:p>
        </w:tc>
        <w:tc>
          <w:tcPr>
            <w:tcW w:type="dxa" w:w="1440"/>
          </w:tcPr>
          <w:p>
            <w:r>
              <w:rPr>
                <w:b w:val="0"/>
                <w:sz w:val="17"/>
              </w:rPr>
              <w:t>480</w:t>
            </w:r>
          </w:p>
        </w:tc>
        <w:tc>
          <w:tcPr>
            <w:tcW w:type="dxa" w:w="1440"/>
          </w:tcPr>
          <w:p>
            <w:r>
              <w:rPr>
                <w:b w:val="0"/>
                <w:sz w:val="17"/>
              </w:rPr>
              <w:t>97.60</w:t>
            </w:r>
          </w:p>
        </w:tc>
        <w:tc>
          <w:tcPr>
            <w:tcW w:type="dxa" w:w="1440"/>
          </w:tcPr>
          <w:p>
            <w:r>
              <w:rPr>
                <w:b w:val="0"/>
                <w:sz w:val="17"/>
              </w:rPr>
              <w:t>135.6</w:t>
            </w:r>
          </w:p>
        </w:tc>
        <w:tc>
          <w:tcPr>
            <w:tcW w:type="dxa" w:w="1440"/>
          </w:tcPr>
          <w:p>
            <w:r>
              <w:rPr>
                <w:b w:val="0"/>
                <w:sz w:val="17"/>
              </w:rPr>
              <w:t>91.31</w:t>
            </w:r>
          </w:p>
        </w:tc>
      </w:tr>
      <w:tr>
        <w:tc>
          <w:tcPr>
            <w:tcW w:type="dxa" w:w="1440"/>
          </w:tcPr>
          <w:p>
            <w:r>
              <w:rPr>
                <w:b w:val="0"/>
                <w:sz w:val="17"/>
              </w:rPr>
              <w:t>75</w:t>
            </w:r>
          </w:p>
        </w:tc>
        <w:tc>
          <w:tcPr>
            <w:tcW w:type="dxa" w:w="1440"/>
          </w:tcPr>
          <w:p>
            <w:r>
              <w:rPr>
                <w:b w:val="0"/>
                <w:sz w:val="17"/>
              </w:rPr>
              <w:t>1.99</w:t>
            </w:r>
          </w:p>
        </w:tc>
        <w:tc>
          <w:tcPr>
            <w:tcW w:type="dxa" w:w="1440"/>
          </w:tcPr>
          <w:p>
            <w:r>
              <w:rPr>
                <w:b w:val="0"/>
                <w:sz w:val="17"/>
              </w:rPr>
              <w:t>472</w:t>
            </w:r>
          </w:p>
        </w:tc>
        <w:tc>
          <w:tcPr>
            <w:tcW w:type="dxa" w:w="1440"/>
          </w:tcPr>
          <w:p>
            <w:r>
              <w:rPr>
                <w:b w:val="0"/>
                <w:sz w:val="17"/>
              </w:rPr>
              <w:t>99.55</w:t>
            </w:r>
          </w:p>
        </w:tc>
        <w:tc>
          <w:tcPr>
            <w:tcW w:type="dxa" w:w="1440"/>
          </w:tcPr>
          <w:p>
            <w:r>
              <w:rPr>
                <w:b w:val="0"/>
                <w:sz w:val="17"/>
              </w:rPr>
              <w:t>142.7</w:t>
            </w:r>
          </w:p>
        </w:tc>
        <w:tc>
          <w:tcPr>
            <w:tcW w:type="dxa" w:w="1440"/>
          </w:tcPr>
          <w:p>
            <w:r>
              <w:rPr>
                <w:b w:val="0"/>
                <w:sz w:val="17"/>
              </w:rPr>
              <w:t>91.74</w:t>
            </w:r>
          </w:p>
        </w:tc>
      </w:tr>
      <w:tr>
        <w:tc>
          <w:tcPr>
            <w:tcW w:type="dxa" w:w="1440"/>
          </w:tcPr>
          <w:p>
            <w:r>
              <w:rPr>
                <w:b w:val="0"/>
                <w:sz w:val="17"/>
              </w:rPr>
              <w:t>125</w:t>
            </w:r>
          </w:p>
        </w:tc>
        <w:tc>
          <w:tcPr>
            <w:tcW w:type="dxa" w:w="1440"/>
          </w:tcPr>
          <w:p>
            <w:r>
              <w:rPr>
                <w:b w:val="0"/>
                <w:sz w:val="17"/>
              </w:rPr>
              <w:t>1.90</w:t>
            </w:r>
          </w:p>
        </w:tc>
        <w:tc>
          <w:tcPr>
            <w:tcW w:type="dxa" w:w="1440"/>
          </w:tcPr>
          <w:p>
            <w:r>
              <w:rPr>
                <w:b w:val="0"/>
                <w:sz w:val="17"/>
              </w:rPr>
              <w:t>470</w:t>
            </w:r>
          </w:p>
        </w:tc>
        <w:tc>
          <w:tcPr>
            <w:tcW w:type="dxa" w:w="1440"/>
          </w:tcPr>
          <w:p>
            <w:r>
              <w:rPr>
                <w:b w:val="0"/>
                <w:sz w:val="17"/>
              </w:rPr>
              <w:t>99.57</w:t>
            </w:r>
          </w:p>
        </w:tc>
        <w:tc>
          <w:tcPr>
            <w:tcW w:type="dxa" w:w="1440"/>
          </w:tcPr>
          <w:p>
            <w:r>
              <w:rPr>
                <w:b w:val="0"/>
                <w:sz w:val="17"/>
              </w:rPr>
              <w:t>198.1</w:t>
            </w:r>
          </w:p>
        </w:tc>
        <w:tc>
          <w:tcPr>
            <w:tcW w:type="dxa" w:w="1440"/>
          </w:tcPr>
          <w:p>
            <w:r>
              <w:rPr>
                <w:b w:val="0"/>
                <w:sz w:val="17"/>
              </w:rPr>
              <w:t>94.05</w:t>
            </w:r>
          </w:p>
        </w:tc>
      </w:tr>
      <w:tr>
        <w:tc>
          <w:tcPr>
            <w:tcW w:type="dxa" w:w="1440"/>
          </w:tcPr>
          <w:p>
            <w:r>
              <w:rPr>
                <w:b w:val="0"/>
                <w:sz w:val="17"/>
              </w:rPr>
              <w:t>150</w:t>
            </w:r>
          </w:p>
        </w:tc>
        <w:tc>
          <w:tcPr>
            <w:tcW w:type="dxa" w:w="1440"/>
          </w:tcPr>
          <w:p>
            <w:r>
              <w:rPr>
                <w:b w:val="0"/>
                <w:sz w:val="17"/>
              </w:rPr>
              <w:t>1.66</w:t>
            </w:r>
          </w:p>
        </w:tc>
        <w:tc>
          <w:tcPr>
            <w:tcW w:type="dxa" w:w="1440"/>
          </w:tcPr>
          <w:p>
            <w:r>
              <w:rPr>
                <w:b w:val="0"/>
                <w:sz w:val="17"/>
              </w:rPr>
              <w:t>470</w:t>
            </w:r>
          </w:p>
        </w:tc>
        <w:tc>
          <w:tcPr>
            <w:tcW w:type="dxa" w:w="1440"/>
          </w:tcPr>
          <w:p>
            <w:r>
              <w:rPr>
                <w:b w:val="0"/>
                <w:sz w:val="17"/>
              </w:rPr>
              <w:t>99.62</w:t>
            </w:r>
          </w:p>
        </w:tc>
        <w:tc>
          <w:tcPr>
            <w:tcW w:type="dxa" w:w="1440"/>
          </w:tcPr>
          <w:p>
            <w:r>
              <w:rPr>
                <w:b w:val="0"/>
                <w:sz w:val="17"/>
              </w:rPr>
              <w:t>258.3</w:t>
            </w:r>
          </w:p>
        </w:tc>
        <w:tc>
          <w:tcPr>
            <w:tcW w:type="dxa" w:w="1440"/>
          </w:tcPr>
          <w:p>
            <w:r>
              <w:rPr>
                <w:b w:val="0"/>
                <w:sz w:val="17"/>
              </w:rPr>
              <w:t>95.43</w:t>
            </w:r>
          </w:p>
        </w:tc>
      </w:tr>
    </w:tbl>
    <w:p>
      <w:r>
        <w:rPr>
          <w:b w:val="0"/>
          <w:color w:val="718096"/>
          <w:sz w:val="16"/>
        </w:rPr>
        <w:t>Mohammed (2014), MSc, Alexandria University — the approved experimental-validation source.</w:t>
      </w:r>
    </w:p>
    <w:p>
      <w:pPr>
        <w:pStyle w:val="Heading2"/>
      </w:pPr>
      <w:r>
        <w:t>6.6 What this does and does not settle</w:t>
      </w:r>
    </w:p>
    <w:p>
      <w:r>
        <w:rPr>
          <w:b/>
        </w:rPr>
        <w:t>Confirmed:</w:t>
      </w:r>
      <w:r>
        <w:rPr>
          <w:b w:val="0"/>
        </w:rPr>
        <w:t xml:space="preserve"> the medium/substrate match, the physisorption mechanism (Langmuir, |ΔG°ads| ≳ 32 kJ/mol) consistent with the Stage-2 E_ads and the Stage-3 ~3.5 Å contact, and strong extract-level inhibition. </w:t>
      </w:r>
      <w:r>
        <w:rPr>
          <w:b/>
        </w:rPr>
        <w:t>Not settled:</w:t>
      </w:r>
      <w:r>
        <w:rPr>
          <w:b w:val="0"/>
        </w:rPr>
        <w:t xml:space="preserve"> the extract study has no LC-MS/GC-MS, so it validates the extract, not the individual flavonoids — the quercetin &gt; isorhamnetin &gt; kaempferol ranking remains a computational prediction pending LC-MS plus isolated-compound electrochemistry. Note E_ads (single-molecule vdW) and ΔG°ads (whole-extract isotherm free energy) are different observables: they agree on regime and order of magnitude, not on the number.</w:t>
      </w:r>
    </w:p>
    <w:p>
      <w:pPr>
        <w:pStyle w:val="Heading1"/>
      </w:pPr>
      <w:r>
        <w:t>7. Method &amp; caveats</w:t>
      </w:r>
    </w:p>
    <w:p>
      <w:r>
        <w:rPr>
          <w:b w:val="0"/>
          <w:color w:val="718096"/>
        </w:rPr>
        <w:t>DFT level: B3LYP/6-311++G(d,p) (ddCOSMO:water). Global descriptors come from the frontier-orbital energies via Koopmans' theorem; ΔN uses the metal work function with η(metal) = 0. The Monte-Carlo and Brownian-MD stages use a classical van-der-Waals adsorption model — a physics-based screening surrogate, not a substitute for periodic DFT or for electrochemical validation. The composite ranking is a heuristic that orders candidates; it does not prove inhibition.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