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2026-07-01 20:07</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pStyle w:val="Heading1"/>
      </w:pPr>
      <w:r>
        <w:t>Overview</w:t>
      </w:r>
    </w:p>
    <w:p>
      <w:r>
        <w:rPr>
          <w:b w:val="0"/>
        </w:rPr>
        <w:t>corrosim screens a green corrosion inhibitor by zooming in over three stages, each answering one question about how strongly the molecule sticks to the metal. Stage 1 studies the isolated molecule with quantum chemistry (which electrons it will share, and from which atoms). Stage 2 searches for its best pose on the metal surface. Stage 3 lets that pose settle at room temperature and reads off the adsorption distance.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4387844"/>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4387844"/>
                    </a:xfrm>
                    <a:prstGeom prst="rect"/>
                  </pic:spPr>
                </pic:pic>
              </a:graphicData>
            </a:graphic>
          </wp:inline>
        </w:drawing>
      </w:r>
    </w:p>
    <w:p>
      <w:pPr>
        <w:jc w:val="center"/>
      </w:pPr>
      <w:r>
        <w:rPr>
          <w:i/>
          <w:color w:val="718096"/>
          <w:sz w:val="16"/>
        </w:rPr>
        <w:t>corrosim pipeline</w:t>
      </w:r>
    </w:p>
    <w:p>
      <w:pPr>
        <w:pStyle w:val="Heading1"/>
      </w:pPr>
      <w:r>
        <w:t>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name</w:t>
            </w:r>
          </w:p>
        </w:tc>
        <w:tc>
          <w:tcPr>
            <w:tcW w:type="dxa" w:w="1080"/>
          </w:tcPr>
          <w:p>
            <w:r>
              <w:rPr>
                <w:b/>
                <w:sz w:val="17"/>
              </w:rPr>
              <w:t>gap_ev</w:t>
            </w:r>
          </w:p>
        </w:tc>
        <w:tc>
          <w:tcPr>
            <w:tcW w:type="dxa" w:w="1080"/>
          </w:tcPr>
          <w:p>
            <w:r>
              <w:rPr>
                <w:b/>
                <w:sz w:val="17"/>
              </w:rPr>
              <w:t>hardness_ev</w:t>
            </w:r>
          </w:p>
        </w:tc>
        <w:tc>
          <w:tcPr>
            <w:tcW w:type="dxa" w:w="1080"/>
          </w:tcPr>
          <w:p>
            <w:r>
              <w:rPr>
                <w:b/>
                <w:sz w:val="17"/>
              </w:rPr>
              <w:t>softness_inv_ev</w:t>
            </w:r>
          </w:p>
        </w:tc>
        <w:tc>
          <w:tcPr>
            <w:tcW w:type="dxa" w:w="1080"/>
          </w:tcPr>
          <w:p>
            <w:r>
              <w:rPr>
                <w:b/>
                <w:sz w:val="17"/>
              </w:rPr>
              <w:t>delta_n</w:t>
            </w:r>
          </w:p>
        </w:tc>
        <w:tc>
          <w:tcPr>
            <w:tcW w:type="dxa" w:w="1080"/>
          </w:tcPr>
          <w:p>
            <w:r>
              <w:rPr>
                <w:b/>
                <w:sz w:val="17"/>
              </w:rPr>
              <w:t>e_ads_kjmol</w:t>
            </w:r>
          </w:p>
        </w:tc>
        <w:tc>
          <w:tcPr>
            <w:tcW w:type="dxa" w:w="1080"/>
          </w:tcPr>
          <w:p>
            <w:r>
              <w:rPr>
                <w:b/>
                <w:sz w:val="17"/>
              </w:rPr>
              <w:t>ads_dist_A</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val="0"/>
          <w:color w:val="718096"/>
        </w:rPr>
        <w:t>Composite score z-scores a smaller gap, lower hardness and higher softness (higher = stronger predicted reactivity); E_ads (Stage 2) and the Fe-O distance (Stage 3) are shown alongside.</w:t>
      </w:r>
    </w:p>
    <w:p>
      <w:pPr>
        <w:pStyle w:val="Heading1"/>
      </w:pPr>
      <w:r>
        <w:t>Stage 1 — DFT electronic descriptors</w:t>
      </w:r>
    </w:p>
    <w:p>
      <w:r>
        <w:rPr>
          <w:b w:val="0"/>
        </w:rPr>
        <w:t>Density-functional theory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Frontier-orbital energy levels (HOMO below, LUMO above, gap arrowed) for each molecule, with the Fe(110) Fermi level (−Φ = −4.82 eV) as the dashed reference. A HOMO lying near −Φ and a small gap favour electron sharing with the metal.</w:t>
      </w:r>
    </w:p>
    <w:p>
      <w:pPr>
        <w:pStyle w:val="Heading2"/>
      </w:pPr>
      <w:r>
        <w:t>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Protonation lowers the gap and drives ΔN negative — the electron-poor cation stops donating — which is why the headline ranking is stated on the neutral form (ADR 0003), the species that actually dominates here (see Speciation).</w:t>
      </w:r>
    </w:p>
    <w:p>
      <w:pPr>
        <w:pStyle w:val="Heading2"/>
      </w:pPr>
      <w:r>
        <w:t>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Relaxing each structure at B3LYP/6-31G(d) lowers the gap (~0.4–0.5 eV) and hardness and raises ΔN, but leaves both the gap and ΔN rankings unchanged — the lead assignments are geometry-robust.</w:t>
      </w:r>
    </w:p>
    <w:p>
      <w:pPr>
        <w:pStyle w:val="Heading2"/>
      </w:pPr>
      <w:r>
        <w:t>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3"/>
      </w:pPr>
      <w:r>
        <w:t>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electronic-only) resolves it: the most basic flavonoid is only 0.05%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-11.2</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-12.1</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-3.3</w:t>
            </w:r>
          </w:p>
        </w:tc>
        <w:tc>
          <w:tcPr>
            <w:tcW w:type="dxa" w:w="2880"/>
          </w:tcPr>
          <w:p>
            <w:r>
              <w:rPr>
                <w:b w:val="0"/>
                <w:sz w:val="17"/>
              </w:rPr>
              <w:t>0.05%</w:t>
            </w:r>
          </w:p>
        </w:tc>
      </w:tr>
    </w:tbl>
    <w:p>
      <w:r>
        <w:rPr>
          <w:b w:val="0"/>
          <w:color w:val="718096"/>
          <w:sz w:val="16"/>
        </w:rPr>
        <w:t>results/pka.json (ADR 0005).</w:t>
      </w:r>
    </w:p>
    <w:p>
      <w:pPr>
        <w:pStyle w:val="Heading1"/>
      </w:pPr>
      <w:r>
        <w:t>Stage 1b —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Electrostatic-potential (ESP) map</w:t>
      </w:r>
    </w:p>
    <w:p>
      <w:r>
        <w:rPr>
          <w:b w:val="0"/>
        </w:rPr>
        <w:t>The molecular electrostatic-potential (ESP) map colours the electron-density surface by potential: red (negative) regions are electron-rich and nucleophilic — the metal-coordinating patches — corroborating the Fukui donor analysis.</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Stage 2 —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Stage 3 —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Governing equations</w:t>
      </w:r>
    </w:p>
    <w:p>
      <w:r>
        <w:rPr>
          <w:b w:val="0"/>
        </w:rPr>
        <w:t>Stage 1 turns the two frontier-orbital energies into the standard reactivity descriptors via Koopmans' theorem; Stage 1b localises reactivity with the condensed Fukui functions; the speciation layer fixes the protonation state; and Stages 2–3 quantify adsorption. The full set is collected below.</w:t>
      </w:r>
    </w:p>
    <w:p>
      <w:pPr>
        <w:pStyle w:val="Heading3"/>
      </w:pPr>
      <w:r>
        <w:t>Stage 1 — 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Stage 1b — 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Stage 2/3 — 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Protonation resolved by a computed pKaH</w:t>
      </w:r>
    </w:p>
    <w:p>
      <w:r>
        <w:rPr>
          <w:b w:val="0"/>
        </w:rPr>
        <w:t>The most basic site is the 4-oxo carbonyl, a very weak base. A DFT deprotonation cycle (B3LYP/6-311++G(d,p) + ddCOSMO) gives pKaH ≈ −12.1 (quercetin), −11.2 (kaempferol) and −3.3 (isorhamnetin) — all far below the 5–7% crossover — so every flavonoid is under 0.1% protonated in 1 M HCl. The neutral form is physically dominant, so the neutral-basis ranking is robust, not merely conventional.</w:t>
      </w:r>
    </w:p>
    <w:p>
      <w:pPr>
        <w:pStyle w:val="Heading2"/>
      </w:pPr>
      <w:r>
        <w:t>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