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Fe(110)  |  Medium: 1 M HCl  |  DFT level: B3LYP/6-311++G(d,p) (ddCOSMO:water)  |  Generated 2026-07-14 18:07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122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corrosim pipeline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3 molecules screened, no single lead is robust: </w:t>
      </w:r>
      <w:r>
        <w:rPr>
          <w:b/>
        </w:rPr>
        <w:t>pyrazolopyrimidine ethyl ester</w:t>
      </w:r>
      <w:r>
        <w:rPr>
          <w:b w:val="0"/>
        </w:rPr>
        <w:t xml:space="preserve"> and </w:t>
      </w:r>
      <w:r>
        <w:rPr>
          <w:b/>
        </w:rPr>
        <w:t>pyrazolopyrimidine propanoic acid</w:t>
      </w:r>
      <w:r>
        <w:rPr>
          <w:b w:val="0"/>
        </w:rPr>
        <w:t xml:space="preserve"> rank within the method's resolution of one another — the top candidate changes across the 4 descriptor bases (geometry and protonation), so they are reported as a tie rather than ordered. </w:t>
      </w:r>
      <w:r>
        <w:rPr>
          <w:b/>
        </w:rPr>
        <w:t>pyrazolopyrimidine propanamide</w:t>
      </w:r>
      <w:r>
        <w:rPr>
          <w:b w:val="0"/>
        </w:rPr>
        <w:t xml:space="preserve"> is the robustly weakest candidate, ranked last on every basis.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4.655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4.659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Hardness η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2.327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2.332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Softness σ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0.429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-20.42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-8.81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-15.55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Fe–O (Å)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3.85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3.85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1.169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0.105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-1.274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Ranking basis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Top candidate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Pyrazolopyrimidine ethyl ester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Pyrazolopyrimidine propanoic acid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DFT-relaxed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Pyrazolopyrimidine propanoic acid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DFT-relaxed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Pyrazolopyrimidine propanoic acid</w:t>
            </w:r>
          </w:p>
        </w:tc>
      </w:tr>
    </w:tbl>
    <w:p>
      <w:r>
        <w:rPr>
          <w:b w:val="0"/>
          <w:color w:val="718096"/>
          <w:sz w:val="18"/>
        </w:rPr>
        <w:t xml:space="preserve">Lead </w:t>
      </w:r>
      <w:r>
        <w:rPr>
          <w:b/>
          <w:color w:val="718096"/>
          <w:sz w:val="18"/>
        </w:rPr>
        <w:t>not robust</w:t>
      </w:r>
      <w:r>
        <w:rPr>
          <w:b w:val="0"/>
          <w:color w:val="718096"/>
          <w:sz w:val="18"/>
        </w:rPr>
        <w:t>: the top candidate changes across the 4 bases, so the top group is within method resolution and reported as a tie.</w:t>
      </w:r>
    </w:p>
    <w:p>
      <w:r>
        <w:rPr>
          <w:b w:val="0"/>
          <w:color w:val="718096"/>
          <w:sz w:val="18"/>
        </w:rPr>
        <w:t>Scored on the HOMO–LUMO gap, hardness and softness of the canonical basis (</w:t>
      </w:r>
      <w:r>
        <w:rPr>
          <w:b/>
          <w:color w:val="718096"/>
          <w:sz w:val="18"/>
        </w:rPr>
        <w:t>DFT-relaxed geometry, pH-weighted</w:t>
      </w:r>
      <w:r>
        <w:rPr>
          <w:b w:val="0"/>
          <w:color w:val="718096"/>
          <w:sz w:val="18"/>
        </w:rPr>
        <w:t xml:space="preserve">; 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). The geometry / protonation panels below are a sensitivity check, not separate rankings. E_ads and the Fe–O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21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2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485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48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propanoic acid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propanamide_ho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ethyl ester_ho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propanoic acid_lu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propanamide_lu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pyrazolopyrimidine ethyl ester_lu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44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4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039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03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C15H14N4O3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C15H15N5O2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C17H18N4O3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-6.298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-6.289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-6.293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-1.827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-1.809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-1.822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4.471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4.471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2.235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2.235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4.063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4.049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4.057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3.692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3.659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3.683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-4.001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-4.268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-4.565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-20.42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-15.55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-8.81</w:t>
            </w:r>
          </w:p>
        </w:tc>
      </w:tr>
    </w:tbl>
    <w:p>
      <w:pPr>
        <w:pStyle w:val="Heading2"/>
      </w:pPr>
      <w:r>
        <w:t>3.3 Geometry refinement (FF vs DFT-optimised)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546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eometry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Force-field vs DFT-optimised geometry</w:t>
      </w:r>
    </w:p>
    <w:p>
      <w:pPr>
        <w:pStyle w:val="Heading2"/>
      </w:pPr>
      <w:r>
        <w:t>3.4 Optimised-geometry descriptors (DFT-relaxed)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C15H14N4O3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C15H15N5O2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C17H18N4O3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-6.347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-6.334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-6.337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-1.684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-1.665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-1.67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4.662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4.667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2.331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2.335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2.333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0.428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0.429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4.015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3.999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3.458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3.426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3.434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-0.583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-0.584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-0.583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-3.947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-4.432</w:t>
            </w:r>
          </w:p>
        </w:tc>
      </w:tr>
    </w:tbl>
    <w:p>
      <w:r>
        <w:rPr>
          <w:b w:val="0"/>
          <w:color w:val="718096"/>
          <w:sz w:val="18"/>
        </w:rPr>
        <w:t>Sensitivity: descriptors on the DFT-relaxed geometry (the geometry axis of the ranking ensemble). The headline ranks on the canonical basis; see the Summary.</w:t>
      </w:r>
    </w:p>
    <w:p>
      <w:pPr>
        <w:pStyle w:val="Heading3"/>
      </w:pPr>
      <w:r>
        <w:t>Optimised protonated cations (in-acid)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ester+H+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C15H15N4O3+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C15H16N5O2+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C17H19N4O3+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-7.202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-6.938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-7.208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-2.798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-2.412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-2.786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4.404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4.526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4.422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2.202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2.263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2.211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0.454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0.452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4.675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4.997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5.677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4.829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5.648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-0.041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0.032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-0.566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-4.329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-4.458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-4.903</w:t>
            </w:r>
          </w:p>
        </w:tc>
      </w:tr>
    </w:tbl>
    <w:p>
      <w:pPr>
        <w:pStyle w:val="Heading2"/>
      </w:pPr>
      <w:r>
        <w:t>3.5 Species in the acidic medium (protonated 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ester+H+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C15H15N4O3+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C15H16N5O2+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C17H19N4O3+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-6.978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-6.736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-6.965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-3.071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-2.902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-3.024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3.908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3.834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3.941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1.954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1.917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1.97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0.512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0.522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0.507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5.025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4.819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4.994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6.46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6.056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6.329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-0.052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-0.044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-0.488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-0.479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-0.493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-4.247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-4.562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-4.704</w:t>
            </w:r>
          </w:p>
        </w:tc>
      </w:tr>
    </w:tbl>
    <w:p>
      <w:r>
        <w:rPr>
          <w:b w:val="0"/>
          <w:color w:val="718096"/>
          <w:sz w:val="18"/>
        </w:rPr>
        <w:t>Protonated +1 cation descriptors in 1 M HCl; a component of the pH-weighted canonical basis (see the Summary), shown here on its own.</w:t>
      </w:r>
    </w:p>
    <w:p>
      <w:pPr>
        <w:pStyle w:val="Heading2"/>
      </w:pPr>
      <w:r>
        <w:t>3.6 Speciation in 1 M HCl (pH ≈ -0.0)</w:t>
      </w:r>
    </w:p>
    <w:p>
      <w:r>
        <w:rPr>
          <w:b/>
          <w:color w:val="718096"/>
          <w:sz w:val="18"/>
        </w:rPr>
        <w:t>97% neutral / 3% protonated</w:t>
      </w:r>
      <w:r>
        <w:rPr>
          <w:b w:val="0"/>
          <w:color w:val="718096"/>
          <w:sz w:val="18"/>
        </w:rPr>
        <w:t xml:space="preserve"> at this pH — the neutral form dominates. Population-weighted descriptors (the speciation axis of the ranking ensemble; the headline ranks on the canonical basis):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propanoic acid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propanamide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Pyrazolopyrimidine ethyl ester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C15H14N4O3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C15H15N5O2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C17H18N4O3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-6.319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-6.303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-6.313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-1.866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-1.842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-1.859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4.454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4.454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2.227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2.227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0.449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4.092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4.072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4.086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3.777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3.732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3.764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-0.557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-4.008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-4.278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-4.569</w:t>
            </w:r>
          </w:p>
        </w:tc>
      </w:tr>
    </w:tbl>
    <w:p>
      <w:pPr>
        <w:pStyle w:val="Heading2"/>
      </w:pPr>
      <w:r>
        <w:t>3.7 Local reactivity (Fukui)</w:t>
      </w:r>
    </w:p>
    <w:p>
      <w:r>
        <w:rPr>
          <w:b/>
          <w:sz w:val="20"/>
        </w:rPr>
        <w:t>Pyrazolopyrimidine propanoic acid</w:t>
      </w:r>
      <w:r>
        <w:rPr>
          <w:b w:val="0"/>
          <w:sz w:val="20"/>
        </w:rPr>
        <w:t>: O15 (f⁻=0.005), O19 (f⁻=0.000), O20 (f⁻=0.000)</w:t>
      </w:r>
    </w:p>
    <w:p>
      <w:r>
        <w:rPr>
          <w:b/>
          <w:sz w:val="20"/>
        </w:rPr>
        <w:t>Pyrazolopyrimidine propanamide</w:t>
      </w:r>
      <w:r>
        <w:rPr>
          <w:b w:val="0"/>
          <w:sz w:val="20"/>
        </w:rPr>
        <w:t>: O15 (f⁻=0.005), O19 (f⁻=0.000)</w:t>
      </w:r>
    </w:p>
    <w:p>
      <w:r>
        <w:rPr>
          <w:b/>
          <w:sz w:val="20"/>
        </w:rPr>
        <w:t>Pyrazolopyrimidine ethyl ester</w:t>
      </w:r>
      <w:r>
        <w:rPr>
          <w:b w:val="0"/>
          <w:sz w:val="20"/>
        </w:rPr>
        <w:t>: O15 (f⁻=0.005), O19 (f⁻=0.000), O20 (f⁻=0.000)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opyrimidine propanoic acid_fuk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opyrimidine propanamide_fuku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yrazolopyrimidine ethyl ester_fuku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— condensed Fukui</w:t>
      </w:r>
    </w:p>
    <w:p>
      <w:pPr>
        <w:pStyle w:val="Heading2"/>
      </w:pPr>
      <w:r>
        <w:t>3.8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opyrimidine propanoic acid_es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opyrimidine propanamide_es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yrazolopyrimidine ethyl ester_es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propanoic acid_mc_po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propanamide_mc_po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ethyl ester_mc_po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propanoic acid_mc_energ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propanamide_mc_energ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yrazolopyrimidine ethyl ester_mc_energ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— MC annealing</w:t>
      </w:r>
    </w:p>
    <w:p>
      <w:pPr>
        <w:pStyle w:val="Heading1"/>
      </w:pPr>
      <w:r>
        <w:t>5. Brownian MD (Fe-O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opyrimidine propanoic acid_rd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propanoic acid — Fe-O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opyrimidine propanamide_rd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propanamide — Fe-O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yrazolopyrimidine ethyl ester_rd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pyrazolopyrimidine ethyl ester — Fe-O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B3LYP/6-311++G(d,p)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