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2026-07-10 15:13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(+0.99), combining the smallest HOMO–LUMO gap (4.08 eV) with the highest softness — the most readily polarised, electron-donating candidate of the set. It adsorbs flat on Fe in the physisorption regime (E_ads ≈ -16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4.082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2.041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0.49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0.995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0.373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-1.368</w:t>
            </w:r>
          </w:p>
        </w:tc>
      </w:tr>
    </w:tbl>
    <w:p>
      <w:r>
        <w:rPr>
          <w:b w:val="0"/>
          <w:color w:val="718096"/>
          <w:sz w:val="18"/>
        </w:rPr>
        <w:t xml:space="preserve">Scored on the neutral HOMO–LUMO gap, hardness and softness (z-scored;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3.604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1.802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0.555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1.413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-0.748</w:t>
            </w:r>
          </w:p>
        </w:tc>
      </w:tr>
    </w:tbl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the headline ranking stays on the neutral form (see docs/pipeline.md).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(blended lead </w:t>
      </w:r>
      <w:r>
        <w:rPr>
          <w:b/>
          <w:color w:val="718096"/>
          <w:sz w:val="18"/>
        </w:rPr>
        <w:t>quercetin</w:t>
      </w:r>
      <w:r>
        <w:rPr>
          <w:b w:val="0"/>
          <w:color w:val="718096"/>
          <w:sz w:val="18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