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16:19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no single lead is robust: </w:t>
      </w:r>
      <w:r>
        <w:rPr>
          <w:b/>
        </w:rPr>
        <w:t>pyrazolopyrimidine ethyl ester</w:t>
      </w:r>
      <w:r>
        <w:rPr>
          <w:b w:val="0"/>
        </w:rPr>
        <w:t xml:space="preserve"> and </w:t>
      </w:r>
      <w:r>
        <w:rPr>
          <w:b/>
        </w:rPr>
        <w:t>pyrazolopyrimidine propanoic acid</w:t>
      </w:r>
      <w:r>
        <w:rPr>
          <w:b w:val="0"/>
        </w:rPr>
        <w:t xml:space="preserve"> rank within the method's resolution of one another — the top candidate changes across the 4 descriptor bases (geometry and protonation), so they are reported as a tie rather than ordered. </w:t>
      </w:r>
      <w:r>
        <w:rPr>
          <w:b/>
        </w:rPr>
        <w:t>pyrazolopyrimidine propanamide</w:t>
      </w:r>
      <w:r>
        <w:rPr>
          <w:b w:val="0"/>
        </w:rPr>
        <w:t xml:space="preserve"> is the robustly weakest candidate, ranked last on every basis.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-1.274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ethyl ester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pyrazolopyrimidine propanoic acid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not robust</w:t>
      </w:r>
      <w:r>
        <w:rPr>
          <w:b w:val="0"/>
          <w:color w:val="718096"/>
          <w:sz w:val="18"/>
        </w:rPr>
        <w:t>: the top candidate changes across the 4 bases, so the top group is within method resolution and reported as a tie.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526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oic acid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propanamide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pyrazolopyrimidine ethyl ester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43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1054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0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-6.289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-20.42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-8.81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462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4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-6.337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4.667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2.333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4.015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3.999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3.434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-0.583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-4.432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-7.208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-2.412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-2.786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4.526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2.211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5.648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-4.329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-4.903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C15H15N4O3+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C15H16N5O2+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C17H19N4O3+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-6.736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-6.965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-2.902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-3.024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1.97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0.507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6.056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6.329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-0.044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-0.493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-4.704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propanoic acid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propanamide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pyrazolopyrimidine ethyl ester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C15H14N4O3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C15H15N5O2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C17H18N4O3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-6.313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-1.859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4.454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2.227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3.732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-4.569</w:t>
            </w:r>
          </w:p>
        </w:tc>
      </w:tr>
    </w:tbl>
    <w:p>
      <w:pPr>
        <w:pStyle w:val="Heading2"/>
      </w:pPr>
      <w:r>
        <w:t>3.7 Local reactivity (Fukui)</w:t>
      </w:r>
    </w:p>
    <w:p>
      <w:r>
        <w:rPr>
          <w:b/>
          <w:sz w:val="20"/>
        </w:rPr>
        <w:t>pyrazolopyrimidine propanoic acid</w:t>
      </w:r>
      <w:r>
        <w:rPr>
          <w:b w:val="0"/>
          <w:sz w:val="20"/>
        </w:rPr>
        <w:t>: O15 (f⁻=0.005), O19 (f⁻=0.000), O20 (f⁻=0.000)</w:t>
      </w:r>
    </w:p>
    <w:p>
      <w:r>
        <w:rPr>
          <w:b/>
          <w:sz w:val="20"/>
        </w:rPr>
        <w:t>pyrazolopyrimidine propanamide</w:t>
      </w:r>
      <w:r>
        <w:rPr>
          <w:b w:val="0"/>
          <w:sz w:val="20"/>
        </w:rPr>
        <w:t>: O15 (f⁻=0.005), O19 (f⁻=0.000)</w:t>
      </w:r>
    </w:p>
    <w:p>
      <w:r>
        <w:rPr>
          <w:b/>
          <w:sz w:val="20"/>
        </w:rPr>
        <w:t>pyrazolopyrimidine ethyl ester</w:t>
      </w:r>
      <w:r>
        <w:rPr>
          <w:b w:val="0"/>
          <w:sz w:val="20"/>
        </w:rPr>
        <w:t>: O15 (f⁻=0.005), O19 (f⁻=0.000), O20 (f⁻=0.000)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oic acid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propanamide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yrazolopyrimidine ethyl ester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oic acid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62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propanamide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6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pyrazolopyrimidine ethyl ester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9275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9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oic acid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propanamide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yrazolopyrimidine ethyl ester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oic acid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propanoic acid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propanamide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propanamide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yrazolopyrimidine ethyl ester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pyrazolopyrimidine ethyl ester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