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2026-07-18 19:37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</w:t>
      </w:r>
      <w:r>
        <w:rPr>
          <w:b/>
        </w:rPr>
        <w:t>pyrazolylnucleoside methoxy</w:t>
      </w:r>
      <w:r>
        <w:rPr>
          <w:b w:val="0"/>
        </w:rPr>
        <w:t xml:space="preserve"> ranks highest on the composite electronic score (+1.66), which averages three independent axes — a small HOMO–LUMO gap (5.46 eV), the Lukovits ΔN and the molecular dipole — the strongest all-round electron-donating profile of the set. It adsorbs flat on Cu in the physisorption regime (E_ads ≈ -9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5.457 ✓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 ✓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1.658 ✓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-0.606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