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2026-07-10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pyrazolopyrimidine ethyl ester</w:t>
      </w:r>
      <w:r>
        <w:rPr>
          <w:b w:val="0"/>
        </w:rPr>
        <w:t xml:space="preserve"> ranks highest on the composite electronic score (+0.76), combining the smallest HOMO–LUMO gap (4.47 eV) with the highest softness — the most readily polarised, electron-donating candidate of the set. It adsorbs flat on Fe in the physisorption regime (E_ads ≈ -9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4.471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2.235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0.447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0.756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-1.413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pyrazolopyrimidine propanoic acid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6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