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2026-07-10 14:44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quercetin</w:t>
      </w:r>
      <w:r>
        <w:rPr>
          <w:b w:val="0"/>
        </w:rPr>
        <w:t xml:space="preserve"> ranks highest on the composite electronic score (+0.99), combining the smallest HOMO–LUMO gap (4.08 eV) with the highest softness — the most readily polarised, electron-donating candidate of the set. It adsorbs flat on Fe in the physisorption regime (E_ads ≈ -16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4.082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2.041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2.073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0.995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0.373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-1.368</w:t>
            </w:r>
          </w:p>
        </w:tc>
      </w:tr>
    </w:tbl>
    <w:p>
      <w:r>
        <w:rPr>
          <w:b w:val="0"/>
          <w:color w:val="718096"/>
          <w:sz w:val="18"/>
        </w:rPr>
        <w:t xml:space="preserve">Scored on the neutral HOMO–LUMO gap, hardness and softness (z-scored;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4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79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-5.525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81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81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-6.552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-6.092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1.413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-0.748</w:t>
            </w:r>
          </w:p>
        </w:tc>
      </w:tr>
    </w:tbl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3.008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1.707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0.586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4.765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7.018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-0.376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-7.044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-3.324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3.344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0.639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7.465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-4.993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the headline ranking stays on the neutral form (see docs/pipeline.md).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(blended lead </w:t>
      </w:r>
      <w:r>
        <w:rPr>
          <w:b/>
          <w:color w:val="718096"/>
          <w:sz w:val="18"/>
        </w:rPr>
        <w:t>quercetin</w:t>
      </w:r>
      <w:r>
        <w:rPr>
          <w:b w:val="0"/>
          <w:color w:val="718096"/>
          <w:sz w:val="18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2.064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3.938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computed pKaH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-12.9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-13.3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% protonated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0.01%</w:t>
            </w:r>
          </w:p>
        </w:tc>
      </w:tr>
    </w:tbl>
    <w:p>
      <w:r>
        <w:rPr>
          <w:b w:val="0"/>
          <w:color w:val="718096"/>
          <w:sz w:val="16"/>
        </w:rPr>
        <w:t>Computed pKaH (DFT cycle, frequency-corrected).</w:t>
      </w:r>
    </w:p>
    <w:p>
      <w:pPr>
        <w:pStyle w:val="Heading2"/>
      </w:pPr>
      <w:r>
        <w:t>3.7 Local reactivity (Fukui)</w:t>
      </w:r>
    </w:p>
    <w:p>
      <w:r>
        <w:rPr>
          <w:b/>
          <w:sz w:val="20"/>
        </w:rPr>
        <w:t>kaempferol</w:t>
      </w:r>
      <w:r>
        <w:rPr>
          <w:b w:val="0"/>
          <w:sz w:val="20"/>
        </w:rPr>
        <w:t>: O3 (f⁻=0.116), O12 (f⁻=0.055), O19 (f⁻=0.053)</w:t>
      </w:r>
    </w:p>
    <w:p>
      <w:r>
        <w:rPr>
          <w:b/>
          <w:sz w:val="20"/>
        </w:rPr>
        <w:t>quercetin</w:t>
      </w:r>
      <w:r>
        <w:rPr>
          <w:b w:val="0"/>
          <w:sz w:val="20"/>
        </w:rPr>
        <w:t>: O3 (f⁻=0.090), O9 (f⁻=0.088), O11 (f⁻=0.040)</w:t>
      </w:r>
    </w:p>
    <w:p>
      <w:r>
        <w:rPr>
          <w:b/>
          <w:sz w:val="20"/>
        </w:rPr>
        <w:t>isorhamnetin</w:t>
      </w:r>
      <w:r>
        <w:rPr>
          <w:b w:val="0"/>
          <w:sz w:val="20"/>
        </w:rPr>
        <w:t>: O9 (f⁻=0.094), O3 (f⁻=0.093), O11 (f⁻=0.043)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aempferol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quercetin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sorhamnetin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aempferol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9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uercetin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sorhamnetin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aempferol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ercetin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sorhamnetin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