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Présentation des résultats</w:t>
      </w:r>
    </w:p>
    <w:p>
      <w:pPr>
        <w:jc w:val="both"/>
      </w:pPr>
      <w:r>
        <w:t>Ce chapitre présente les résultats obtenus selon la méthodologie exposée au chapitre 2. Il est organisé en deux volets successifs : les résultats de la revue systématique de littérature (sections 3.1 à 3.5), puis les résultats de l’enquête nationale #eSANTÉ26 (section 3.6). Pour chacun des deux volets, les résultats sont rapportés selon les trois axes d’évaluation définis dans le cadre théorique : l’accessibilité aux soins, la coordination du parcours et l’expérience patient. La mise en perspective des deux volets entre eux et avec la littérature fait l’objet du chapitre 4 (Discussion).</w:t>
      </w:r>
    </w:p>
    <w:p>
      <w:pPr>
        <w:pStyle w:val="Heading2"/>
      </w:pPr>
      <w:r>
        <w:t>3.1 Processus de sélection et description du corpus</w:t>
      </w:r>
    </w:p>
    <w:p>
      <w:pPr>
        <w:pStyle w:val="Heading3"/>
      </w:pPr>
      <w:r>
        <w:t>3.1.1 Résultats de la sélection : flux PRISMA</w:t>
      </w:r>
    </w:p>
    <w:p>
      <w:pPr>
        <w:jc w:val="both"/>
      </w:pPr>
      <w:r>
        <w:t xml:space="preserve">La recherche a été conduite dans la base de données PubMed le </w:t>
      </w:r>
      <w:r>
        <w:rPr>
          <w:b/>
          <w:color w:val="C00000"/>
        </w:rPr>
        <w:t>[à compléter : date de la recherche]</w:t>
      </w:r>
      <w:r>
        <w:t>, selon l’équation présentée en section 2.2.2. Elle a permis d’identifier 98 références. Avant la phase de sélection, 8 références ont été retirées : 3 doublons et 5 références écartées pour d’autres motifs. Aucune référence n’a été éliminée par un outil automatisé.</w:t>
      </w:r>
    </w:p>
    <w:p>
      <w:pPr>
        <w:jc w:val="both"/>
      </w:pPr>
      <w:r>
        <w:t>Les 90 références restantes ont été examinées sur titre et résumé. À l’issue de cette première lecture, 59 références ont été exclues comme ne répondant pas à la question de recherche. Les 31 rapports restants ont été recherchés en texte intégral ; 4 d’entre eux n’ont pas été retenus à ce stade en raison des filtres appliqués (type d’article non original ou hors du champ thématique et de la période d’étude).</w:t>
      </w:r>
    </w:p>
    <w:p>
      <w:pPr>
        <w:jc w:val="both"/>
      </w:pPr>
      <w:r>
        <w:t xml:space="preserve">Les 27 rapports obtenus en texte intégral ont fait l’objet d’une évaluation d’éligibilité complète. À l’issue de cette lecture intégrale, </w:t>
      </w:r>
      <w:r>
        <w:rPr>
          <w:b/>
          <w:color w:val="C00000"/>
        </w:rPr>
        <w:t>[à compléter : n = 5 selon la Figure 11, mais 27 − 5 = 22 ; confirmer 6 exclusions ou corriger la figure]</w:t>
      </w:r>
      <w:r>
        <w:t xml:space="preserve"> rapports ont été exclus pour les motifs suivants : données incomplètes, contexte géographique non français après vérification, ou absence de réponse à la question de recherche après lecture complète. Au total, 21 études ont été incluses dans la revue systématique. Le processus de sélection est synthétisé dans le diagramme de flux PRISMA (Figure 11).</w:t>
      </w:r>
    </w:p>
    <w:p>
      <w:pPr>
        <w:jc w:val="both"/>
      </w:pPr>
      <w:r>
        <w:t>Conformément aux critères d’inclusion définis en section 2.2.2, les protocoles d’études publiés ont été admis dans le corpus ; c’est à ce titre que le protocole d’essai randomisé de Homs (2025) a été conservé.</w:t>
      </w:r>
    </w:p>
    <w:p>
      <w:pPr>
        <w:pStyle w:val="Heading3"/>
      </w:pPr>
      <w:r>
        <w:t>3.1.2 Répartition par type de technologie et contexte clinique</w:t>
      </w:r>
    </w:p>
    <w:p>
      <w:pPr>
        <w:jc w:val="both"/>
      </w:pPr>
      <w:r>
        <w:t>L’analyse des 21 études incluses permet de dresser un état de la recherche française sur les plateformes numériques de santé, tant du point de vue des dispositifs évalués que des contextes cliniques investigués. Le corpus couvre l’ensemble du spectre fonctionnel décrit au chapitre 1, de la prise de rendez-vous en ligne à la télésurveillance, avec une distribution inégale entre catégories. Cinq grands ensembles se dégagent ; le tableau de synthèse complet figure en Annexe 1.</w:t>
      </w:r>
    </w:p>
    <w:p>
      <w:pPr>
        <w:jc w:val="both"/>
      </w:pPr>
      <w:r>
        <w:rPr>
          <w:b/>
        </w:rPr>
        <w:t xml:space="preserve">La téléconsultation </w:t>
      </w:r>
      <w:r>
        <w:t>constitue le domaine le plus documenté du corpus. Elle est étudiée dans des contextes cliniques variés : les soins primaires (Saint-Lary, 2020 ; Ohannessian, 2024), l’oncologie (Bizot, 2021 ; Helissey, 2020), l’ophtalmologie d’urgence (Bourdon, 2020), la consultation d’anesthésie préopératoire (Guerrier, 2025) et la médecine interne (Firn, 2021). Selon les études, elle est mobilisée pour le tri des demandes (urgences ophtalmologiques), pour le suivi de patients déjà connus (oncologie) ou comme alternative à la consultation en présentiel (médecine générale). Un programme d’éducation thérapeutique à distance en cardiologie, associant téléconsultations et ateliers, fait par ailleurs l’objet d’un protocole d’essai randomisé (Homs, 2025), inclus au titre de sa valeur de préfiguration mais ne fournissant pas encore de résultats. Le contexte dominant est celui de l’amélioration de l’accès aux soins de premier recours et de la gestion des flux, en milieu hospitalier comme ambulatoire.</w:t>
      </w:r>
    </w:p>
    <w:p>
      <w:pPr>
        <w:jc w:val="both"/>
      </w:pPr>
      <w:r>
        <w:rPr>
          <w:b/>
        </w:rPr>
        <w:t xml:space="preserve">La télésurveillance et le suivi à distance à domicile </w:t>
      </w:r>
      <w:r>
        <w:t>concernent principalement des patients atteints de pathologies chroniques ou en situation de fragilité : l’insuffisance cardiaque, abordée sous l’angle de l’équipement en smartphone des patients (Pezel, 2021) et du suivi à distance des défibrillateurs implantables (Guédon-Moreau, 2014), les polypathologies gériatriques (Testa, 2025), le suivi des anticancéreux oraux (Minvielle, 2025), la prise en charge des plaies complexes à domicile (Téot, 2020) et le télésuivi de la pression positive continue dans le syndrome d’apnées du sommeil (Mendelson, 2014). Ces dispositifs reposent sur des applications mobiles, des objets connectés ou des plateformes dédiées ; les objectifs récurrents sont la continuité des soins, la gestion des effets indésirables des traitements et l’éducation thérapeutique.</w:t>
      </w:r>
    </w:p>
    <w:p>
      <w:pPr>
        <w:jc w:val="both"/>
      </w:pPr>
      <w:r>
        <w:rPr>
          <w:b/>
        </w:rPr>
        <w:t xml:space="preserve">La télé-expertise et les plateformes de coordination interprofessionnelle </w:t>
      </w:r>
      <w:r>
        <w:t>forment le troisième ensemble : les réunions régionales de télé-expertise dans la sclérose en plaques (Derache, 2020), la plateforme sécurisée de télé-expertise ophtalmologique OMNIDOC (Bourré, 2024) et le réseau de télémédecine dédié à la prise en charge de l’accident vasculaire cérébral (telestroke) (Wallut, 2020). Ces solutions organisent un échange de professionnel à professionnel afin d’améliorer la décision médicale, de réguler le recours aux consultations spécialisées et de prendre en charge des situations complexes ou urgentes.</w:t>
      </w:r>
    </w:p>
    <w:p>
      <w:pPr>
        <w:jc w:val="both"/>
      </w:pPr>
      <w:r>
        <w:rPr>
          <w:b/>
        </w:rPr>
        <w:t xml:space="preserve">La prise de rendez-vous en ligne </w:t>
      </w:r>
      <w:r>
        <w:t>auprès du médecin généraliste est abordée par une étude portant sur les déterminants socio-démographiques de son usage (Ellouze, 2018).</w:t>
      </w:r>
    </w:p>
    <w:p>
      <w:pPr>
        <w:jc w:val="both"/>
      </w:pPr>
      <w:r>
        <w:rPr>
          <w:b/>
        </w:rPr>
        <w:t xml:space="preserve">Les applications mobiles et outils de suivi destinés aux patients </w:t>
      </w:r>
      <w:r>
        <w:t>complètent ce panorama. Une application sécurisée dédiée à un parcours spécialisé, la procréation médicalement assistée, est évaluée sous l’angle de l’utilisabilité et de l’organisation des soins (Plouvier, 2025) ; l’usage des outils d’e-santé (internet, applications, outils de suivi) par les patients atteints de polyarthrite rhumatoïde fait l’objet d’une étude transversale multicentrique (Magnol, 2021) ; enfin, une application web de recueil des effets indésirables en oncologie est évaluée sur la satisfaction et l’utilisabilité (Zysman, 2025).</w:t>
      </w:r>
    </w:p>
    <w:p>
      <w:pPr>
        <w:pStyle w:val="Heading2"/>
      </w:pPr>
      <w:r>
        <w:t>3.2 Niveaux de preuve et designs d’étude recensés</w:t>
      </w:r>
    </w:p>
    <w:p>
      <w:r>
        <w:t>La distribution des designs d’étude au sein du corpus constitue un indicateur de la maturité de la recherche dans ce domaine. Elle se répartit comme suit, de manière exhaustive sur les 21 études incluses (le détail par étude figure en Annexe 1) :</w:t>
      </w:r>
    </w:p>
    <w:p>
      <w:pPr>
        <w:pStyle w:val="ListBullet"/>
      </w:pPr>
      <w:r>
        <w:t>15 études observationnelles (soit 71 % du corpus), de niveaux de preuve III et IV : études transversales, rétrospectives, cohortes prospectives, registres et enquêtes déclaratives ;</w:t>
      </w:r>
    </w:p>
    <w:p>
      <w:pPr>
        <w:pStyle w:val="ListBullet"/>
      </w:pPr>
      <w:r>
        <w:t>3 essais contrôlés randomisés : la télé-expertise pour plaies complexes à domicile (Téot, 2020), le suivi à distance des défibrillateurs implantables (Guédon-Moreau, 2014) et le télésuivi de la pression positive continue (Mendelson, 2014) ;</w:t>
      </w:r>
    </w:p>
    <w:p>
      <w:pPr>
        <w:pStyle w:val="ListBullet"/>
      </w:pPr>
      <w:r>
        <w:t>1 analyse secondaire d’essai randomisé de phase 3, portant sur le programme de télésurveillance en oncologie CAPRI (Minvielle, 2025) ;</w:t>
      </w:r>
    </w:p>
    <w:p>
      <w:pPr>
        <w:pStyle w:val="ListBullet"/>
      </w:pPr>
      <w:r>
        <w:t>1 protocole d’essai contrôlé randomisé, relatif à un programme d’éducation thérapeutique à distance (Homs, 2025), admis conformément aux critères d’inclusion ;</w:t>
      </w:r>
    </w:p>
    <w:p>
      <w:pPr>
        <w:pStyle w:val="ListBullet"/>
      </w:pPr>
      <w:r>
        <w:t>1 évaluation médico-économique fondée sur un modèle décisionnel, consacrée au réseau de télémédecine pour l’accident vasculaire cérébral (Wallut, 2020).</w:t>
      </w:r>
    </w:p>
    <w:p>
      <w:pPr>
        <w:jc w:val="both"/>
      </w:pPr>
      <w:r>
        <w:t>Aucune étude du corpus ne relève d’un design purement qualitatif. Plusieurs études intègrent en revanche une composante mixte ou déclarative, sous la forme de questionnaires de satisfaction, de scores d’utilisabilité ou d’enquêtes de pratiques (notamment Firn, 2021 ; Bizot, 2021 ; Plouvier, 2025 ; Zysman, 2025 ; Magnol, 2021). Ces dimensions déclaratives sont indispensables pour apprécier l’acceptabilité des outils et l’expérience utilisateur, qui ne peuvent être capturées par les seules données d’activité.</w:t>
      </w:r>
    </w:p>
    <w:p>
      <w:pPr>
        <w:jc w:val="both"/>
      </w:pPr>
      <w:r>
        <w:t>Cette distribution appelle deux constats. D’une part, la prédominance des études observationnelles confirme que la recherche française en e-santé se concentre encore sur l’évaluation de l’impact organisationnel et des indicateurs déclaratifs, tels que la satisfaction, plutôt que sur la démonstration d’une supériorité clinique ou économique par rapport aux soins conventionnels. Ces études permettent d’établir des associations et des états des lieux, mais leur capacité à démontrer des liens de causalité demeure limitée. D’autre part, la rareté des essais contrôlés randomisés de niveaux de preuve I et II constitue une lacune significative : les quelques travaux de niveau élevé du corpus ne suffisent pas, à eux seuls, à établir les bénéfices cliniques à long terme des plateformes ni à fonder des recommandations fortes, d’autant que certains résultats sont négatifs ou nuancés — l’essai de Mendelson (2014) ne met par exemple pas en évidence d’effet du télésuivi de la pression positive continue sur la pression artérielle.</w:t>
      </w:r>
    </w:p>
    <w:p>
      <w:pPr>
        <w:pStyle w:val="Heading2"/>
      </w:pPr>
      <w:r>
        <w:t>3.3 Impact sur l’accès, l’acceptabilité et les données d’activité</w:t>
      </w:r>
    </w:p>
    <w:p>
      <w:pPr>
        <w:jc w:val="both"/>
      </w:pPr>
      <w:r>
        <w:t>L’analyse du corpus confirme que les plateformes numériques constituent un levier significatif d’amélioration de l’accès immédiat aux soins, dont l’impact se mesure à travers l’agrégation des données d’activité et de perception.</w:t>
      </w:r>
    </w:p>
    <w:p>
      <w:pPr>
        <w:jc w:val="both"/>
      </w:pPr>
      <w:r>
        <w:rPr>
          <w:b/>
        </w:rPr>
        <w:t xml:space="preserve">Amélioration de la disponibilité et des délais. </w:t>
      </w:r>
      <w:r>
        <w:t>Les plateformes démontrent leur efficacité pour faciliter l’accès aux soins, notamment dans les zones sous-denses (Ohannessian, 2024). Les données d’activité attestent d’une réduction mesurable des délais d’obtention d’un avis ou d’un rendez-vous, en particulier dans les spécialités sous tension comme l’ophtalmologie (Bourdon, 2020 ; Bourré, 2024) et dans les situations d’urgence telles que l’accident vasculaire cérébral (Wallut, 2020), traduisant une amélioration de la réactivité du système. Par ailleurs, les téléconsultations ont joué un rôle protecteur en assurant la continuité des soins dans un contexte contraint, celui de la pandémie de COVID-19 (Saint-Lary, 2020 ; Helissey, 2020).</w:t>
      </w:r>
    </w:p>
    <w:p>
      <w:pPr>
        <w:jc w:val="both"/>
      </w:pPr>
      <w:r>
        <w:rPr>
          <w:b/>
        </w:rPr>
        <w:t xml:space="preserve">Acceptabilité et données de satisfaction. </w:t>
      </w:r>
      <w:r>
        <w:t>L’acceptation des plateformes par les patients est élevée, avec des taux de satisfaction compris entre 70 et 85 % selon les études, principalement portés par la commodité et la transparence du processus (Bizot, 2021 ; Zysman, 2025).</w:t>
      </w:r>
    </w:p>
    <w:p>
      <w:pPr>
        <w:jc w:val="both"/>
      </w:pPr>
      <w:r>
        <w:rPr>
          <w:b/>
        </w:rPr>
        <w:t xml:space="preserve">Persistance des inégalités et fracture numérique. </w:t>
      </w:r>
      <w:r>
        <w:t>Malgré ces avantages, l’accès aux outils numériques demeure inégal. Plusieurs études soulignent un biais de recrutement, les utilisateurs étant souvent plus jeunes et dotés d’une meilleure littératie numérique (Magnol, 2021 ; Plouvier, 2025) ; les déterminants socio-démographiques du recours à la prise de rendez-vous en ligne vont dans le même sens (Ellouze, 2018), de même que les données d’équipement en smartphone chez les patients insuffisants cardiaques (Pezel, 2021). Ce constat souligne la nécessité de maintenir des modalités traditionnelles de contact afin d’éviter une double exclusion, médicale et numérique, et soulève des questions cruciales d’équité.</w:t>
      </w:r>
    </w:p>
    <w:p>
      <w:pPr>
        <w:jc w:val="both"/>
      </w:pPr>
      <w:r>
        <w:rPr>
          <w:b/>
        </w:rPr>
        <w:t xml:space="preserve">Limites des données d’activité. </w:t>
      </w:r>
      <w:r>
        <w:t>L’évaluation de l’impact reste largement cantonnée à des indicateurs de performance, tels que le nombre de téléconsultations réalisées ou le taux d’absence aux rendez-vous. La littérature peine à démontrer une corrélation directe et probante entre cette activité et un bénéfice clinique tangible ou une amélioration significative de la qualité de vie des patients.</w:t>
      </w:r>
    </w:p>
    <w:p>
      <w:pPr>
        <w:pStyle w:val="Heading2"/>
      </w:pPr>
      <w:r>
        <w:t>3.4 Rôle dans la coordination du parcours et le modèle organisationnel</w:t>
      </w:r>
    </w:p>
    <w:p>
      <w:pPr>
        <w:jc w:val="both"/>
      </w:pPr>
      <w:r>
        <w:t>Le corpus indique que le numérique optimise la coordination lorsqu’il s’intègre dans un modèle organisationnel structuré, plutôt que lorsqu’il est déployé comme un outil isolé.</w:t>
      </w:r>
    </w:p>
    <w:p>
      <w:pPr>
        <w:jc w:val="both"/>
      </w:pPr>
      <w:r>
        <w:rPr>
          <w:b/>
        </w:rPr>
        <w:t xml:space="preserve">Un renforcement du lien interprofessionnel. </w:t>
      </w:r>
      <w:r>
        <w:t>Les plateformes dédiées à la télé-expertise et à la télésurveillance facilitent les échanges entre professionnels, comme l’illustrent les réunions régionales de télé-expertise dans la sclérose en plaques (Derache, 2020) et la régulation du recours aux consultations spécialisées permise par la télé-expertise ophtalmologique (Bourré, 2024). Elles favorisent une meilleure transmission d’informations entre les différents acteurs du parcours et soutiennent ainsi le modèle coordonné promu par l’Assurance Maladie.</w:t>
      </w:r>
    </w:p>
    <w:p>
      <w:pPr>
        <w:jc w:val="both"/>
      </w:pPr>
      <w:r>
        <w:rPr>
          <w:b/>
        </w:rPr>
        <w:t xml:space="preserve">L’efficacité du modèle hybride. </w:t>
      </w:r>
      <w:r>
        <w:t>Les études les plus solides du corpus montrent que l’efficacité se manifeste lorsque la technologie est associée à un accompagnement humain dédié : infirmières de coordination du programme CAPRI en oncologie (Minvielle, 2025), coordination gériatrique continue du dispositif EPOCA (Testa, 2025). Cette synergie entre outils numériques, professionnels spécialisés et protocoles de suivi définis permet notamment une gestion améliorée des alertes et une prévention accrue des hospitalisations. Le suivi à distance protocolisé des défibrillateurs implantables s’inscrit dans la même logique, avec une réduction des visites programmées et des coûts de suivi (Guédon-Moreau, 2014).</w:t>
      </w:r>
    </w:p>
    <w:p>
      <w:pPr>
        <w:jc w:val="both"/>
      </w:pPr>
      <w:r>
        <w:rPr>
          <w:b/>
        </w:rPr>
        <w:t xml:space="preserve">Une validation clinique et de sécurité sous conditions. </w:t>
      </w:r>
      <w:r>
        <w:t>Le corpus établit que la téléconsultation n’est pas inférieure à la consultation en présentiel pour diverses indications, notamment le suivi de pathologies chroniques et certaines situations d’urgence, sous réserve que le patient soit connu du professionnel et que le tri des demandes soit correctement conduit (Bourdon, 2020 ; Guerrier, 2025). Le respect strict du cadre réglementaire français, en particulier le RGPD et la certification Hébergeur de Données de Santé, est perçu comme une condition indispensable à l’instauration de la confiance et de l’adhésion des professionnels (Firn, 2021).</w:t>
      </w:r>
    </w:p>
    <w:p>
      <w:pPr>
        <w:pStyle w:val="Heading2"/>
      </w:pPr>
      <w:r>
        <w:t>3.5 Analyse de l’expérience patient et des lacunes médico-économiques</w:t>
      </w:r>
    </w:p>
    <w:p>
      <w:pPr>
        <w:jc w:val="both"/>
      </w:pPr>
      <w:r>
        <w:rPr>
          <w:b/>
        </w:rPr>
        <w:t xml:space="preserve">Une satisfaction élevée, mais des besoins non couverts. </w:t>
      </w:r>
      <w:r>
        <w:t>De nombreuses études rapportent des taux de satisfaction élevés (cf. section 3.3). Les avantages soulignés par les patients sont la simplicité d’utilisation, la diminution du stress et la réduction des déplacements (Bizot, 2021 ; Guerrier, 2025 ; Zysman, 2025) ; les scores d’utilisabilité mesurés pour les applications dédiées à des parcours spécialisés confirment cette bonne acceptation (Plouvier, 2025). Cette satisfaction reste toutefois tempérée par la crainte d’une perte de contact direct avec les professionnels, ce qui rappelle que les plateformes doivent compléter la relation thérapeutique sans jamais s’y substituer.</w:t>
      </w:r>
    </w:p>
    <w:p>
      <w:pPr>
        <w:jc w:val="both"/>
      </w:pPr>
      <w:r>
        <w:rPr>
          <w:b/>
        </w:rPr>
        <w:t xml:space="preserve">Une évaluation médico-économique lacunaire. </w:t>
      </w:r>
      <w:r>
        <w:t>L’évaluation de la valeur économique et de l’impact sur la qualité de vie constitue la principale lacune du corpus. À l’exception de l’analyse coût-efficacité du réseau de télémédecine dédié à l’accident vasculaire cérébral (Wallut, 2020) et de l’évaluation économique du suivi à distance des défibrillateurs (Guédon-Moreau, 2014), peu d’études proposent une analyse médico-économique complète. Quelques tendances se dessinent néanmoins : une diminution des transports liés aux soins (Téot, 2020 ; Guerrier, 2025), une réduction du recours hospitalier (Testa, 2025) et des gains d’efficience administrative (Plouvier, 2025).</w:t>
      </w:r>
    </w:p>
    <w:p>
      <w:pPr>
        <w:jc w:val="both"/>
      </w:pPr>
      <w:r>
        <w:rPr>
          <w:b/>
        </w:rPr>
        <w:t xml:space="preserve">Absence de ratio coût-efficacité consolidé et dépendance au cadre conventionnel. </w:t>
      </w:r>
      <w:r>
        <w:t>L’évaluation de la création de valeur repose principalement sur les coûts indirects évités, tels que le temps de transport ou l’absentéisme, ainsi que sur les gains d’efficience organisationnelle. Le manque d’études prospectives se traduit par une absence notable de calculs de ratio coût-efficacité incrémental (ICER), ce qui freine les décisions relatives à l’intégration tarifaire et au remboursement. L’analyse souligne enfin une forte dépendance de la diffusion et de la valorisation des plateformes vis-à-vis des décisions de prise en charge de l’Assurance Maladie : la valeur économique d’une plateforme est intrinsèquement liée à sa capacité à être valorisée dans le cadre conventionnel existant.</w:t>
      </w:r>
    </w:p>
    <w:p>
      <w:pPr>
        <w:jc w:val="both"/>
      </w:pPr>
      <w:r>
        <w:rPr>
          <w:b/>
        </w:rPr>
        <w:t xml:space="preserve">Synthèse de la revue systématique. </w:t>
      </w:r>
      <w:r>
        <w:t>Au terme de cette analyse, le corpus (N = 21) dresse un tableau cohérent mais ambivalent. Les plateformes numériques apportent un bénéfice réel, surtout d’ordre organisationnel et logistique : meilleure disponibilité de l’offre, réduction des délais pour les spécialités sous tension, sécurisation de la continuité des soins en période de tension. Leur contribution à la coordination est tangible, mais conditionnée à leur intégration dans un modèle hybride associant l’outil à un accompagnement humain dédié. L’expérience patient est globalement positive, tout en restant perçue comme un facilitateur logistique davantage que comme un apport médical. En revanche, la démonstration d’un bénéfice clinique prospectif et d’une valeur médico-économique robuste fait défaut : rareté des essais randomisés aboutis, quasi-absence de ratios coût-efficacité, indicateurs limités à l’activité.</w:t>
      </w:r>
    </w:p>
    <w:p>
      <w:pPr>
        <w:jc w:val="both"/>
      </w:pPr>
      <w:r>
        <w:t>Les sections suivantes présentent le second volet des résultats, issu de l’enquête nationale #eSANTÉ26, dont les données seront confrontées à celles de la revue systématique au chapitre 4.</w:t>
      </w:r>
    </w:p>
    <w:p>
      <w:pPr>
        <w:pStyle w:val="Heading2"/>
      </w:pPr>
      <w:r>
        <w:t>3.6 Résultats de l’enquête nationale #eSANTÉ26</w:t>
      </w:r>
    </w:p>
    <w:p>
      <w:pPr>
        <w:jc w:val="both"/>
      </w:pPr>
      <w:r>
        <w:t>Cette section présente les résultats de l’enquête, organisés selon les trois axes de la problématique : l’accès aux soins, la coordination et l’expérience patient. Les données chiffrées proviennent du baromètre patients Doctoome #eSANTÉ26 (2026). Les figures référencées renvoient aux représentations graphiques du baromètre, à insérer aux emplacements indiqués.</w:t>
      </w:r>
    </w:p>
    <w:p>
      <w:pPr>
        <w:pStyle w:val="Heading3"/>
      </w:pPr>
      <w:r>
        <w:t>3.6.1 Caractéristiques de l’échantillon</w:t>
      </w:r>
    </w:p>
    <w:p>
      <w:pPr>
        <w:jc w:val="both"/>
      </w:pPr>
      <w:r>
        <w:t>L’échantillon réunit plus de 1 850 répondants, couvrant l’ensemble des tranches d’âge de 18 à plus de 65 ans et toutes les régions. Le numérique en santé apparaît très largement diffusé au sein de cette population : seuls 197 répondants déclarent n’utiliser aucun outil numérique en santé, soit environ une personne sur dix. Ce constat liminaire situe l’enquête auprès d’une population majoritairement utilisatrice, ce qui doit être gardé à l’esprit pour l’interprétation (voir limites, chapitre 4).</w:t>
      </w:r>
    </w:p>
    <w:p>
      <w:pPr>
        <w:pStyle w:val="Heading3"/>
      </w:pPr>
      <w:r>
        <w:t>3.6.2 Niveau d’adoption et outils mobilisés (axe « accès »)</w:t>
      </w:r>
    </w:p>
    <w:p>
      <w:pPr>
        <w:jc w:val="both"/>
      </w:pPr>
      <w:r>
        <w:t>La fréquence d’usage des outils numériques en santé varie nettement selon l’âge. Les actifs de 35 à 54 ans présentent le taux d’usage fréquent le plus élevé, tandis que les 55 ans et plus se caractérisent par un usage plus modéré mais une intégration réelle de ces outils dans une logique de gestion régulière.</w:t>
      </w:r>
    </w:p>
    <w:p>
      <w:pPr>
        <w:jc w:val="center"/>
      </w:pPr>
      <w:r>
        <w:rPr>
          <w:b/>
          <w:sz w:val="20"/>
        </w:rPr>
        <w:t>Tableau 1 — Fréquence d’usage des outils numériques en santé selon l’âge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Tranche d’âge</w:t>
            </w:r>
          </w:p>
        </w:tc>
        <w:tc>
          <w:tcPr>
            <w:tcW w:type="dxa" w:w="2160"/>
          </w:tcPr>
          <w:p>
            <w:r>
              <w:rPr>
                <w:b/>
                <w:sz w:val="18"/>
              </w:rPr>
              <w:t>Usage fréquent</w:t>
            </w:r>
          </w:p>
        </w:tc>
        <w:tc>
          <w:tcPr>
            <w:tcW w:type="dxa" w:w="2160"/>
          </w:tcPr>
          <w:p>
            <w:r>
              <w:rPr>
                <w:b/>
                <w:sz w:val="18"/>
              </w:rPr>
              <w:t>Usage faible</w:t>
            </w:r>
          </w:p>
        </w:tc>
        <w:tc>
          <w:tcPr>
            <w:tcW w:type="dxa" w:w="2160"/>
          </w:tcPr>
          <w:p>
            <w:r>
              <w:rPr>
                <w:b/>
                <w:sz w:val="18"/>
              </w:rPr>
              <w:t>Jamais</w:t>
            </w:r>
          </w:p>
        </w:tc>
      </w:tr>
      <w:tr>
        <w:tc>
          <w:tcPr>
            <w:tcW w:type="dxa" w:w="2160"/>
          </w:tcPr>
          <w:p>
            <w:r>
              <w:rPr>
                <w:sz w:val="18"/>
              </w:rPr>
              <w:t>18 – 34 ans</w:t>
            </w:r>
          </w:p>
        </w:tc>
        <w:tc>
          <w:tcPr>
            <w:tcW w:type="dxa" w:w="2160"/>
          </w:tcPr>
          <w:p>
            <w:r>
              <w:rPr>
                <w:sz w:val="18"/>
              </w:rPr>
              <w:t>49 %</w:t>
            </w:r>
          </w:p>
        </w:tc>
        <w:tc>
          <w:tcPr>
            <w:tcW w:type="dxa" w:w="2160"/>
          </w:tcPr>
          <w:p>
            <w:r>
              <w:rPr>
                <w:sz w:val="18"/>
              </w:rPr>
              <w:t>42 %</w:t>
            </w:r>
          </w:p>
        </w:tc>
        <w:tc>
          <w:tcPr>
            <w:tcW w:type="dxa" w:w="2160"/>
          </w:tcPr>
          <w:p>
            <w:r>
              <w:rPr>
                <w:sz w:val="18"/>
              </w:rPr>
              <w:t>9 %</w:t>
            </w:r>
          </w:p>
        </w:tc>
      </w:tr>
      <w:tr>
        <w:tc>
          <w:tcPr>
            <w:tcW w:type="dxa" w:w="2160"/>
          </w:tcPr>
          <w:p>
            <w:r>
              <w:rPr>
                <w:sz w:val="18"/>
              </w:rPr>
              <w:t>35 – 54 ans</w:t>
            </w:r>
          </w:p>
        </w:tc>
        <w:tc>
          <w:tcPr>
            <w:tcW w:type="dxa" w:w="2160"/>
          </w:tcPr>
          <w:p>
            <w:r>
              <w:rPr>
                <w:sz w:val="18"/>
              </w:rPr>
              <w:t>59 %</w:t>
            </w:r>
          </w:p>
        </w:tc>
        <w:tc>
          <w:tcPr>
            <w:tcW w:type="dxa" w:w="2160"/>
          </w:tcPr>
          <w:p>
            <w:r>
              <w:rPr>
                <w:sz w:val="18"/>
              </w:rPr>
              <w:t>32 %</w:t>
            </w:r>
          </w:p>
        </w:tc>
        <w:tc>
          <w:tcPr>
            <w:tcW w:type="dxa" w:w="2160"/>
          </w:tcPr>
          <w:p>
            <w:r>
              <w:rPr>
                <w:sz w:val="18"/>
              </w:rPr>
              <w:t>9 %</w:t>
            </w:r>
          </w:p>
        </w:tc>
      </w:tr>
      <w:tr>
        <w:tc>
          <w:tcPr>
            <w:tcW w:type="dxa" w:w="2160"/>
          </w:tcPr>
          <w:p>
            <w:r>
              <w:rPr>
                <w:sz w:val="18"/>
              </w:rPr>
              <w:t>55 ans et plus</w:t>
            </w:r>
          </w:p>
        </w:tc>
        <w:tc>
          <w:tcPr>
            <w:tcW w:type="dxa" w:w="2160"/>
          </w:tcPr>
          <w:p>
            <w:r>
              <w:rPr>
                <w:sz w:val="18"/>
              </w:rPr>
              <w:t>43 %</w:t>
            </w:r>
          </w:p>
        </w:tc>
        <w:tc>
          <w:tcPr>
            <w:tcW w:type="dxa" w:w="2160"/>
          </w:tcPr>
          <w:p>
            <w:r>
              <w:rPr>
                <w:sz w:val="18"/>
              </w:rPr>
              <w:t>44 %</w:t>
            </w:r>
          </w:p>
        </w:tc>
        <w:tc>
          <w:tcPr>
            <w:tcW w:type="dxa" w:w="2160"/>
          </w:tcPr>
          <w:p>
            <w:r>
              <w:rPr>
                <w:sz w:val="18"/>
              </w:rPr>
              <w:t>13 %</w:t>
            </w:r>
          </w:p>
        </w:tc>
      </w:tr>
    </w:tbl>
    <w:p>
      <w:pPr>
        <w:jc w:val="both"/>
      </w:pPr>
      <w:r>
        <w:t>La nature des outils mobilisés confirme la prééminence des plateformes de prise de rendez-vous, premier point d’entrée dans le numérique en santé pour toutes les tranches d’âge. Mon Espace Santé occupe une place croissante avec l’âge, traduisant un besoin de suivi médical structuré chez les plus âgés, tandis que les applications de santé séduisent davantage les plus jeunes. Le recours à l’intelligence artificielle demeure marginal (4 à 8 % selon l’âge).</w:t>
      </w:r>
    </w:p>
    <w:p>
      <w:pPr>
        <w:jc w:val="center"/>
      </w:pPr>
      <w:r>
        <w:rPr>
          <w:b/>
          <w:sz w:val="20"/>
        </w:rPr>
        <w:t>Tableau 2 — Outils numériques en santé utilisés selon l’âge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Outil</w:t>
            </w:r>
          </w:p>
        </w:tc>
        <w:tc>
          <w:tcPr>
            <w:tcW w:type="dxa" w:w="2160"/>
          </w:tcPr>
          <w:p>
            <w:r>
              <w:rPr>
                <w:b/>
                <w:sz w:val="18"/>
              </w:rPr>
              <w:t>18 – 34 ans</w:t>
            </w:r>
          </w:p>
        </w:tc>
        <w:tc>
          <w:tcPr>
            <w:tcW w:type="dxa" w:w="2160"/>
          </w:tcPr>
          <w:p>
            <w:r>
              <w:rPr>
                <w:b/>
                <w:sz w:val="18"/>
              </w:rPr>
              <w:t>35 – 54 ans</w:t>
            </w:r>
          </w:p>
        </w:tc>
        <w:tc>
          <w:tcPr>
            <w:tcW w:type="dxa" w:w="2160"/>
          </w:tcPr>
          <w:p>
            <w:r>
              <w:rPr>
                <w:b/>
                <w:sz w:val="18"/>
              </w:rPr>
              <w:t>55 ans et +</w:t>
            </w:r>
          </w:p>
        </w:tc>
      </w:tr>
      <w:tr>
        <w:tc>
          <w:tcPr>
            <w:tcW w:type="dxa" w:w="2160"/>
          </w:tcPr>
          <w:p>
            <w:r>
              <w:rPr>
                <w:sz w:val="18"/>
              </w:rPr>
              <w:t>Plateforme de prise de RDV</w:t>
            </w:r>
          </w:p>
        </w:tc>
        <w:tc>
          <w:tcPr>
            <w:tcW w:type="dxa" w:w="2160"/>
          </w:tcPr>
          <w:p>
            <w:r>
              <w:rPr>
                <w:sz w:val="18"/>
              </w:rPr>
              <w:t>40 %</w:t>
            </w:r>
          </w:p>
        </w:tc>
        <w:tc>
          <w:tcPr>
            <w:tcW w:type="dxa" w:w="2160"/>
          </w:tcPr>
          <w:p>
            <w:r>
              <w:rPr>
                <w:sz w:val="18"/>
              </w:rPr>
              <w:t>39 %</w:t>
            </w:r>
          </w:p>
        </w:tc>
        <w:tc>
          <w:tcPr>
            <w:tcW w:type="dxa" w:w="2160"/>
          </w:tcPr>
          <w:p>
            <w:r>
              <w:rPr>
                <w:sz w:val="18"/>
              </w:rPr>
              <w:t>47 %</w:t>
            </w:r>
          </w:p>
        </w:tc>
      </w:tr>
      <w:tr>
        <w:tc>
          <w:tcPr>
            <w:tcW w:type="dxa" w:w="2160"/>
          </w:tcPr>
          <w:p>
            <w:r>
              <w:rPr>
                <w:sz w:val="18"/>
              </w:rPr>
              <w:t>Mon Espace Santé</w:t>
            </w:r>
          </w:p>
        </w:tc>
        <w:tc>
          <w:tcPr>
            <w:tcW w:type="dxa" w:w="2160"/>
          </w:tcPr>
          <w:p>
            <w:r>
              <w:rPr>
                <w:sz w:val="18"/>
              </w:rPr>
              <w:t>10 %</w:t>
            </w:r>
          </w:p>
        </w:tc>
        <w:tc>
          <w:tcPr>
            <w:tcW w:type="dxa" w:w="2160"/>
          </w:tcPr>
          <w:p>
            <w:r>
              <w:rPr>
                <w:sz w:val="18"/>
              </w:rPr>
              <w:t>18 %</w:t>
            </w:r>
          </w:p>
        </w:tc>
        <w:tc>
          <w:tcPr>
            <w:tcW w:type="dxa" w:w="2160"/>
          </w:tcPr>
          <w:p>
            <w:r>
              <w:rPr>
                <w:sz w:val="18"/>
              </w:rPr>
              <w:t>21 %</w:t>
            </w:r>
          </w:p>
        </w:tc>
      </w:tr>
      <w:tr>
        <w:tc>
          <w:tcPr>
            <w:tcW w:type="dxa" w:w="2160"/>
          </w:tcPr>
          <w:p>
            <w:r>
              <w:rPr>
                <w:sz w:val="18"/>
              </w:rPr>
              <w:t>Application santé</w:t>
            </w:r>
          </w:p>
        </w:tc>
        <w:tc>
          <w:tcPr>
            <w:tcW w:type="dxa" w:w="2160"/>
          </w:tcPr>
          <w:p>
            <w:r>
              <w:rPr>
                <w:sz w:val="18"/>
              </w:rPr>
              <w:t>20 %</w:t>
            </w:r>
          </w:p>
        </w:tc>
        <w:tc>
          <w:tcPr>
            <w:tcW w:type="dxa" w:w="2160"/>
          </w:tcPr>
          <w:p>
            <w:r>
              <w:rPr>
                <w:sz w:val="18"/>
              </w:rPr>
              <w:t>17 %</w:t>
            </w:r>
          </w:p>
        </w:tc>
        <w:tc>
          <w:tcPr>
            <w:tcW w:type="dxa" w:w="2160"/>
          </w:tcPr>
          <w:p>
            <w:r>
              <w:rPr>
                <w:sz w:val="18"/>
              </w:rPr>
              <w:t>12 %</w:t>
            </w:r>
          </w:p>
        </w:tc>
      </w:tr>
      <w:tr>
        <w:tc>
          <w:tcPr>
            <w:tcW w:type="dxa" w:w="2160"/>
          </w:tcPr>
          <w:p>
            <w:r>
              <w:rPr>
                <w:sz w:val="18"/>
              </w:rPr>
              <w:t>Téléconsultation</w:t>
            </w:r>
          </w:p>
        </w:tc>
        <w:tc>
          <w:tcPr>
            <w:tcW w:type="dxa" w:w="2160"/>
          </w:tcPr>
          <w:p>
            <w:r>
              <w:rPr>
                <w:sz w:val="18"/>
              </w:rPr>
              <w:t>13 %</w:t>
            </w:r>
          </w:p>
        </w:tc>
        <w:tc>
          <w:tcPr>
            <w:tcW w:type="dxa" w:w="2160"/>
          </w:tcPr>
          <w:p>
            <w:r>
              <w:rPr>
                <w:sz w:val="18"/>
              </w:rPr>
              <w:t>11 %</w:t>
            </w:r>
          </w:p>
        </w:tc>
        <w:tc>
          <w:tcPr>
            <w:tcW w:type="dxa" w:w="2160"/>
          </w:tcPr>
          <w:p>
            <w:r>
              <w:rPr>
                <w:sz w:val="18"/>
              </w:rPr>
              <w:t>9 %</w:t>
            </w:r>
          </w:p>
        </w:tc>
      </w:tr>
      <w:tr>
        <w:tc>
          <w:tcPr>
            <w:tcW w:type="dxa" w:w="2160"/>
          </w:tcPr>
          <w:p>
            <w:r>
              <w:rPr>
                <w:sz w:val="18"/>
              </w:rPr>
              <w:t>Objets connectés</w:t>
            </w:r>
          </w:p>
        </w:tc>
        <w:tc>
          <w:tcPr>
            <w:tcW w:type="dxa" w:w="2160"/>
          </w:tcPr>
          <w:p>
            <w:r>
              <w:rPr>
                <w:sz w:val="18"/>
              </w:rPr>
              <w:t>9 %</w:t>
            </w:r>
          </w:p>
        </w:tc>
        <w:tc>
          <w:tcPr>
            <w:tcW w:type="dxa" w:w="2160"/>
          </w:tcPr>
          <w:p>
            <w:r>
              <w:rPr>
                <w:sz w:val="18"/>
              </w:rPr>
              <w:t>10 %</w:t>
            </w:r>
          </w:p>
        </w:tc>
        <w:tc>
          <w:tcPr>
            <w:tcW w:type="dxa" w:w="2160"/>
          </w:tcPr>
          <w:p>
            <w:r>
              <w:rPr>
                <w:sz w:val="18"/>
              </w:rPr>
              <w:t>7 %</w:t>
            </w:r>
          </w:p>
        </w:tc>
      </w:tr>
      <w:tr>
        <w:tc>
          <w:tcPr>
            <w:tcW w:type="dxa" w:w="2160"/>
          </w:tcPr>
          <w:p>
            <w:r>
              <w:rPr>
                <w:sz w:val="18"/>
              </w:rPr>
              <w:t>Intelligence artificielle</w:t>
            </w:r>
          </w:p>
        </w:tc>
        <w:tc>
          <w:tcPr>
            <w:tcW w:type="dxa" w:w="2160"/>
          </w:tcPr>
          <w:p>
            <w:r>
              <w:rPr>
                <w:sz w:val="18"/>
              </w:rPr>
              <w:t>8 %</w:t>
            </w:r>
          </w:p>
        </w:tc>
        <w:tc>
          <w:tcPr>
            <w:tcW w:type="dxa" w:w="2160"/>
          </w:tcPr>
          <w:p>
            <w:r>
              <w:rPr>
                <w:sz w:val="18"/>
              </w:rPr>
              <w:t>5 %</w:t>
            </w:r>
          </w:p>
        </w:tc>
        <w:tc>
          <w:tcPr>
            <w:tcW w:type="dxa" w:w="2160"/>
          </w:tcPr>
          <w:p>
            <w:r>
              <w:rPr>
                <w:sz w:val="18"/>
              </w:rPr>
              <w:t>4 %</w:t>
            </w:r>
          </w:p>
        </w:tc>
      </w:tr>
    </w:tbl>
    <w:p>
      <w:pPr>
        <w:jc w:val="both"/>
      </w:pPr>
      <w:r>
        <w:t>Les pourcentages des Tableaux 2 et 3 correspondent à la répartition des outils cités en réponse à une question à choix multiples (question 7 du questionnaire, reproduite en annexe) : ils décrivent la structure des usages déclarés, et non la proportion d’utilisateurs de chaque outil au sein de l’échantillon.</w:t>
      </w:r>
    </w:p>
    <w:p>
      <w:pPr>
        <w:pStyle w:val="Heading3"/>
      </w:pPr>
      <w:r>
        <w:t>3.6.3 Usages selon le statut de maladie chronique (axes « accès » et « coordination »)</w:t>
      </w:r>
    </w:p>
    <w:p>
      <w:pPr>
        <w:jc w:val="both"/>
      </w:pPr>
      <w:r>
        <w:t>La comparaison entre patients atteints d’une maladie chronique et personnes non malades révèle une différence d’usage instructive : Mon Espace Santé est davantage mobilisé par les patients chroniques (20 % contre 14,1 %), résultat cohérent avec un besoin accru de suivi et de partage d’informations médicales. À l’inverse, les personnes non malades recourent plus fréquemment aux plateformes de prise de rendez-vous, leur besoin de suivi spécialisé régulier étant plus limité.</w:t>
      </w:r>
    </w:p>
    <w:p>
      <w:pPr>
        <w:jc w:val="center"/>
      </w:pPr>
      <w:r>
        <w:rPr>
          <w:b/>
          <w:sz w:val="20"/>
        </w:rPr>
        <w:t>Tableau 3 — Outils les plus utilisés : patients chroniques vs personnes non malades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Outil</w:t>
            </w:r>
          </w:p>
        </w:tc>
        <w:tc>
          <w:tcPr>
            <w:tcW w:type="dxa" w:w="2880"/>
          </w:tcPr>
          <w:p>
            <w:r>
              <w:rPr>
                <w:b/>
                <w:sz w:val="18"/>
              </w:rPr>
              <w:t>Malades chroniques</w:t>
            </w:r>
          </w:p>
        </w:tc>
        <w:tc>
          <w:tcPr>
            <w:tcW w:type="dxa" w:w="2880"/>
          </w:tcPr>
          <w:p>
            <w:r>
              <w:rPr>
                <w:b/>
                <w:sz w:val="18"/>
              </w:rPr>
              <w:t>Non-malades</w:t>
            </w:r>
          </w:p>
        </w:tc>
      </w:tr>
      <w:tr>
        <w:tc>
          <w:tcPr>
            <w:tcW w:type="dxa" w:w="2880"/>
          </w:tcPr>
          <w:p>
            <w:r>
              <w:rPr>
                <w:sz w:val="18"/>
              </w:rPr>
              <w:t>Plateforme de prise de RDV</w:t>
            </w:r>
          </w:p>
        </w:tc>
        <w:tc>
          <w:tcPr>
            <w:tcW w:type="dxa" w:w="2880"/>
          </w:tcPr>
          <w:p>
            <w:r>
              <w:rPr>
                <w:sz w:val="18"/>
              </w:rPr>
              <w:t>36 %</w:t>
            </w:r>
          </w:p>
        </w:tc>
        <w:tc>
          <w:tcPr>
            <w:tcW w:type="dxa" w:w="2880"/>
          </w:tcPr>
          <w:p>
            <w:r>
              <w:rPr>
                <w:sz w:val="18"/>
              </w:rPr>
              <w:t>41,4 %</w:t>
            </w:r>
          </w:p>
        </w:tc>
      </w:tr>
      <w:tr>
        <w:tc>
          <w:tcPr>
            <w:tcW w:type="dxa" w:w="2880"/>
          </w:tcPr>
          <w:p>
            <w:r>
              <w:rPr>
                <w:sz w:val="18"/>
              </w:rPr>
              <w:t>Mon Espace Santé</w:t>
            </w:r>
          </w:p>
        </w:tc>
        <w:tc>
          <w:tcPr>
            <w:tcW w:type="dxa" w:w="2880"/>
          </w:tcPr>
          <w:p>
            <w:r>
              <w:rPr>
                <w:sz w:val="18"/>
              </w:rPr>
              <w:t>20 %</w:t>
            </w:r>
          </w:p>
        </w:tc>
        <w:tc>
          <w:tcPr>
            <w:tcW w:type="dxa" w:w="2880"/>
          </w:tcPr>
          <w:p>
            <w:r>
              <w:rPr>
                <w:sz w:val="18"/>
              </w:rPr>
              <w:t>14,1 %</w:t>
            </w:r>
          </w:p>
        </w:tc>
      </w:tr>
      <w:tr>
        <w:tc>
          <w:tcPr>
            <w:tcW w:type="dxa" w:w="2880"/>
          </w:tcPr>
          <w:p>
            <w:r>
              <w:rPr>
                <w:sz w:val="18"/>
              </w:rPr>
              <w:t>Application santé</w:t>
            </w:r>
          </w:p>
        </w:tc>
        <w:tc>
          <w:tcPr>
            <w:tcW w:type="dxa" w:w="2880"/>
          </w:tcPr>
          <w:p>
            <w:r>
              <w:rPr>
                <w:sz w:val="18"/>
              </w:rPr>
              <w:t>16 %</w:t>
            </w:r>
          </w:p>
        </w:tc>
        <w:tc>
          <w:tcPr>
            <w:tcW w:type="dxa" w:w="2880"/>
          </w:tcPr>
          <w:p>
            <w:r>
              <w:rPr>
                <w:sz w:val="18"/>
              </w:rPr>
              <w:t>15,2 %</w:t>
            </w:r>
          </w:p>
        </w:tc>
      </w:tr>
      <w:tr>
        <w:tc>
          <w:tcPr>
            <w:tcW w:type="dxa" w:w="2880"/>
          </w:tcPr>
          <w:p>
            <w:r>
              <w:rPr>
                <w:sz w:val="18"/>
              </w:rPr>
              <w:t>Téléconsultation</w:t>
            </w:r>
          </w:p>
        </w:tc>
        <w:tc>
          <w:tcPr>
            <w:tcW w:type="dxa" w:w="2880"/>
          </w:tcPr>
          <w:p>
            <w:r>
              <w:rPr>
                <w:sz w:val="18"/>
              </w:rPr>
              <w:t>10 %</w:t>
            </w:r>
          </w:p>
        </w:tc>
        <w:tc>
          <w:tcPr>
            <w:tcW w:type="dxa" w:w="2880"/>
          </w:tcPr>
          <w:p>
            <w:r>
              <w:rPr>
                <w:sz w:val="18"/>
              </w:rPr>
              <w:t>10,1 %</w:t>
            </w:r>
          </w:p>
        </w:tc>
      </w:tr>
      <w:tr>
        <w:tc>
          <w:tcPr>
            <w:tcW w:type="dxa" w:w="2880"/>
          </w:tcPr>
          <w:p>
            <w:r>
              <w:rPr>
                <w:sz w:val="18"/>
              </w:rPr>
              <w:t>Objets connectés</w:t>
            </w:r>
          </w:p>
        </w:tc>
        <w:tc>
          <w:tcPr>
            <w:tcW w:type="dxa" w:w="2880"/>
          </w:tcPr>
          <w:p>
            <w:r>
              <w:rPr>
                <w:sz w:val="18"/>
              </w:rPr>
              <w:t>7 %</w:t>
            </w:r>
          </w:p>
        </w:tc>
        <w:tc>
          <w:tcPr>
            <w:tcW w:type="dxa" w:w="2880"/>
          </w:tcPr>
          <w:p>
            <w:r>
              <w:rPr>
                <w:sz w:val="18"/>
              </w:rPr>
              <w:t>8,1 %</w:t>
            </w:r>
          </w:p>
        </w:tc>
      </w:tr>
      <w:tr>
        <w:tc>
          <w:tcPr>
            <w:tcW w:type="dxa" w:w="2880"/>
          </w:tcPr>
          <w:p>
            <w:r>
              <w:rPr>
                <w:sz w:val="18"/>
              </w:rPr>
              <w:t>Intelligence artificielle</w:t>
            </w:r>
          </w:p>
        </w:tc>
        <w:tc>
          <w:tcPr>
            <w:tcW w:type="dxa" w:w="2880"/>
          </w:tcPr>
          <w:p>
            <w:r>
              <w:rPr>
                <w:sz w:val="18"/>
              </w:rPr>
              <w:t>6 %</w:t>
            </w:r>
          </w:p>
        </w:tc>
        <w:tc>
          <w:tcPr>
            <w:tcW w:type="dxa" w:w="2880"/>
          </w:tcPr>
          <w:p>
            <w:r>
              <w:rPr>
                <w:sz w:val="18"/>
              </w:rPr>
              <w:t>5,1 %</w:t>
            </w:r>
          </w:p>
        </w:tc>
      </w:tr>
      <w:tr>
        <w:tc>
          <w:tcPr>
            <w:tcW w:type="dxa" w:w="2880"/>
          </w:tcPr>
          <w:p>
            <w:r>
              <w:rPr>
                <w:sz w:val="18"/>
              </w:rPr>
              <w:t>Aucune utilisation</w:t>
            </w:r>
          </w:p>
        </w:tc>
        <w:tc>
          <w:tcPr>
            <w:tcW w:type="dxa" w:w="2880"/>
          </w:tcPr>
          <w:p>
            <w:r>
              <w:rPr>
                <w:sz w:val="18"/>
              </w:rPr>
              <w:t>5 %</w:t>
            </w:r>
          </w:p>
        </w:tc>
        <w:tc>
          <w:tcPr>
            <w:tcW w:type="dxa" w:w="2880"/>
          </w:tcPr>
          <w:p>
            <w:r>
              <w:rPr>
                <w:sz w:val="18"/>
              </w:rPr>
              <w:t>6,1 %</w:t>
            </w:r>
          </w:p>
        </w:tc>
      </w:tr>
    </w:tbl>
    <w:p>
      <w:pPr>
        <w:jc w:val="both"/>
      </w:pPr>
      <w:r>
        <w:t>La ligne « Aucune utilisation » du Tableau 3 (5 à 6 % des outils cités dans chaque sous-groupe) ne peut donc pas être rapprochée directement de la part des personnes n’utilisant aucun outil numérique en santé (197 répondants, soit environ une personne sur dix, cf. § 3.6.1 et Tableau 1) : la première rapporte une part de citations, la seconde une part d’individus. Ces deux indicateurs, calculés sur des bases différentes, sont complémentaires et non contradictoires.</w:t>
      </w:r>
    </w:p>
    <w:p>
      <w:pPr>
        <w:pStyle w:val="Heading3"/>
      </w:pPr>
      <w:r>
        <w:t>3.6.4 Aisance, ressentis et confiance (axe « expérience patient »)</w:t>
      </w:r>
    </w:p>
    <w:p>
      <w:pPr>
        <w:jc w:val="both"/>
      </w:pPr>
      <w:r>
        <w:t>Le ressenti vis-à-vis du numérique en santé est fortement polarisé selon le niveau d’aisance déclaré. Chez les personnes peu à l’aise, la méfiance domine le registre émotionnel ; chez les personnes à l’aise, c’est au contraire la confiance qui prévaut, accompagnée d’un sentiment d’espoir.</w:t>
      </w:r>
    </w:p>
    <w:p>
      <w:pPr>
        <w:jc w:val="center"/>
      </w:pPr>
      <w:r>
        <w:rPr>
          <w:b/>
          <w:sz w:val="20"/>
        </w:rPr>
        <w:t>Tableau 4 — Top 3 des émotions associées au numérique en santé selon l’aisance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Rang</w:t>
            </w:r>
          </w:p>
        </w:tc>
        <w:tc>
          <w:tcPr>
            <w:tcW w:type="dxa" w:w="2880"/>
          </w:tcPr>
          <w:p>
            <w:r>
              <w:rPr>
                <w:b/>
                <w:sz w:val="18"/>
              </w:rPr>
              <w:t>Personnes peu à l’aise</w:t>
            </w:r>
          </w:p>
        </w:tc>
        <w:tc>
          <w:tcPr>
            <w:tcW w:type="dxa" w:w="2880"/>
          </w:tcPr>
          <w:p>
            <w:r>
              <w:rPr>
                <w:b/>
                <w:sz w:val="18"/>
              </w:rPr>
              <w:t>Personnes à l’aise</w:t>
            </w:r>
          </w:p>
        </w:tc>
      </w:tr>
      <w:tr>
        <w:tc>
          <w:tcPr>
            <w:tcW w:type="dxa" w:w="2880"/>
          </w:tcPr>
          <w:p>
            <w:r>
              <w:rPr>
                <w:sz w:val="18"/>
              </w:rPr>
              <w:t>1</w:t>
            </w:r>
          </w:p>
        </w:tc>
        <w:tc>
          <w:tcPr>
            <w:tcW w:type="dxa" w:w="2880"/>
          </w:tcPr>
          <w:p>
            <w:r>
              <w:rPr>
                <w:sz w:val="18"/>
              </w:rPr>
              <w:t>Méfiance (38 %)</w:t>
            </w:r>
          </w:p>
        </w:tc>
        <w:tc>
          <w:tcPr>
            <w:tcW w:type="dxa" w:w="2880"/>
          </w:tcPr>
          <w:p>
            <w:r>
              <w:rPr>
                <w:sz w:val="18"/>
              </w:rPr>
              <w:t>Confiance (40 %)</w:t>
            </w:r>
          </w:p>
        </w:tc>
      </w:tr>
      <w:tr>
        <w:tc>
          <w:tcPr>
            <w:tcW w:type="dxa" w:w="2880"/>
          </w:tcPr>
          <w:p>
            <w:r>
              <w:rPr>
                <w:sz w:val="18"/>
              </w:rPr>
              <w:t>2</w:t>
            </w:r>
          </w:p>
        </w:tc>
        <w:tc>
          <w:tcPr>
            <w:tcW w:type="dxa" w:w="2880"/>
          </w:tcPr>
          <w:p>
            <w:r>
              <w:rPr>
                <w:sz w:val="18"/>
              </w:rPr>
              <w:t>Curiosité (28 %)</w:t>
            </w:r>
          </w:p>
        </w:tc>
        <w:tc>
          <w:tcPr>
            <w:tcW w:type="dxa" w:w="2880"/>
          </w:tcPr>
          <w:p>
            <w:r>
              <w:rPr>
                <w:sz w:val="18"/>
              </w:rPr>
              <w:t>Curiosité (23 %)</w:t>
            </w:r>
          </w:p>
        </w:tc>
      </w:tr>
      <w:tr>
        <w:tc>
          <w:tcPr>
            <w:tcW w:type="dxa" w:w="2880"/>
          </w:tcPr>
          <w:p>
            <w:r>
              <w:rPr>
                <w:sz w:val="18"/>
              </w:rPr>
              <w:t>3</w:t>
            </w:r>
          </w:p>
        </w:tc>
        <w:tc>
          <w:tcPr>
            <w:tcW w:type="dxa" w:w="2880"/>
          </w:tcPr>
          <w:p>
            <w:r>
              <w:rPr>
                <w:sz w:val="18"/>
              </w:rPr>
              <w:t>Confiance (20 %)</w:t>
            </w:r>
          </w:p>
        </w:tc>
        <w:tc>
          <w:tcPr>
            <w:tcW w:type="dxa" w:w="2880"/>
          </w:tcPr>
          <w:p>
            <w:r>
              <w:rPr>
                <w:sz w:val="18"/>
              </w:rPr>
              <w:t>Espoir (23 %)</w:t>
            </w:r>
          </w:p>
        </w:tc>
      </w:tr>
    </w:tbl>
    <w:p>
      <w:pPr>
        <w:jc w:val="both"/>
      </w:pPr>
      <w:r>
        <w:t>Cette polarisation se retrouve sur le plan socioprofessionnel. Les indépendants (chefs d’entreprise, artisans, commerçants) affichent un score de confiance élevé, alors que les agriculteurs, retraités et employés expriment majoritairement de la méfiance.</w:t>
      </w:r>
    </w:p>
    <w:p>
      <w:pPr>
        <w:jc w:val="center"/>
      </w:pPr>
      <w:r>
        <w:rPr>
          <w:b/>
          <w:sz w:val="20"/>
        </w:rPr>
        <w:t>Tableau 5 — Confiance et méfiance selon la catégorie professionnelle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Profil</w:t>
            </w:r>
          </w:p>
        </w:tc>
        <w:tc>
          <w:tcPr>
            <w:tcW w:type="dxa" w:w="2160"/>
          </w:tcPr>
          <w:p>
            <w:r>
              <w:rPr>
                <w:b/>
                <w:sz w:val="18"/>
              </w:rPr>
              <w:t>Confiance</w:t>
            </w:r>
          </w:p>
        </w:tc>
        <w:tc>
          <w:tcPr>
            <w:tcW w:type="dxa" w:w="2160"/>
          </w:tcPr>
          <w:p>
            <w:r>
              <w:rPr>
                <w:b/>
                <w:sz w:val="18"/>
              </w:rPr>
              <w:t>Méfiance</w:t>
            </w:r>
          </w:p>
        </w:tc>
        <w:tc>
          <w:tcPr>
            <w:tcW w:type="dxa" w:w="2160"/>
          </w:tcPr>
          <w:p>
            <w:r>
              <w:rPr>
                <w:b/>
                <w:sz w:val="18"/>
              </w:rPr>
              <w:t>Autres</w:t>
            </w:r>
          </w:p>
        </w:tc>
      </w:tr>
      <w:tr>
        <w:tc>
          <w:tcPr>
            <w:tcW w:type="dxa" w:w="2160"/>
          </w:tcPr>
          <w:p>
            <w:r>
              <w:rPr>
                <w:sz w:val="18"/>
              </w:rPr>
              <w:t>Chefs d’entreprise, artisans, commerçants</w:t>
            </w:r>
          </w:p>
        </w:tc>
        <w:tc>
          <w:tcPr>
            <w:tcW w:type="dxa" w:w="2160"/>
          </w:tcPr>
          <w:p>
            <w:r>
              <w:rPr>
                <w:sz w:val="18"/>
              </w:rPr>
              <w:t>60 %</w:t>
            </w:r>
          </w:p>
        </w:tc>
        <w:tc>
          <w:tcPr>
            <w:tcW w:type="dxa" w:w="2160"/>
          </w:tcPr>
          <w:p>
            <w:r>
              <w:rPr>
                <w:sz w:val="18"/>
              </w:rPr>
              <w:t>10 %</w:t>
            </w:r>
          </w:p>
        </w:tc>
        <w:tc>
          <w:tcPr>
            <w:tcW w:type="dxa" w:w="2160"/>
          </w:tcPr>
          <w:p>
            <w:r>
              <w:rPr>
                <w:sz w:val="18"/>
              </w:rPr>
              <w:t>30 %</w:t>
            </w:r>
          </w:p>
        </w:tc>
      </w:tr>
      <w:tr>
        <w:tc>
          <w:tcPr>
            <w:tcW w:type="dxa" w:w="2160"/>
          </w:tcPr>
          <w:p>
            <w:r>
              <w:rPr>
                <w:sz w:val="18"/>
              </w:rPr>
              <w:t>Agriculteurs, retraités, employés</w:t>
            </w:r>
          </w:p>
        </w:tc>
        <w:tc>
          <w:tcPr>
            <w:tcW w:type="dxa" w:w="2160"/>
          </w:tcPr>
          <w:p>
            <w:r>
              <w:rPr>
                <w:sz w:val="18"/>
              </w:rPr>
              <w:t>25 %</w:t>
            </w:r>
          </w:p>
        </w:tc>
        <w:tc>
          <w:tcPr>
            <w:tcW w:type="dxa" w:w="2160"/>
          </w:tcPr>
          <w:p>
            <w:r>
              <w:rPr>
                <w:sz w:val="18"/>
              </w:rPr>
              <w:t>50 %</w:t>
            </w:r>
          </w:p>
        </w:tc>
        <w:tc>
          <w:tcPr>
            <w:tcW w:type="dxa" w:w="2160"/>
          </w:tcPr>
          <w:p>
            <w:r>
              <w:rPr>
                <w:sz w:val="18"/>
              </w:rPr>
              <w:t>25 %</w:t>
            </w:r>
          </w:p>
        </w:tc>
      </w:tr>
    </w:tbl>
    <w:p>
      <w:pPr>
        <w:pStyle w:val="Heading3"/>
      </w:pPr>
      <w:r>
        <w:t>3.6.5 Inégalités territoriales et sociales d’usage (axe « accès »)</w:t>
      </w:r>
    </w:p>
    <w:p>
      <w:pPr>
        <w:jc w:val="both"/>
      </w:pPr>
      <w:r>
        <w:t>L’enquête met en évidence une fracture d’usage marquée entre zones rurales et urbaines. En zone rurale, l’usage faible concerne 77 % des répondants, contre 70 % en zone urbaine, le frein majeur identifié étant la qualité de la connexion internet. Les catégories professionnelles les plus éloignées du numérique sont les agriculteurs, les ouvriers et les retraités.</w:t>
      </w:r>
    </w:p>
    <w:p>
      <w:pPr>
        <w:jc w:val="center"/>
      </w:pPr>
      <w:r>
        <w:rPr>
          <w:b/>
          <w:sz w:val="20"/>
        </w:rPr>
        <w:t>Tableau 6 — Principaux freins à l’usage chez les personnes peu à l’aise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Rang</w:t>
            </w:r>
          </w:p>
        </w:tc>
        <w:tc>
          <w:tcPr>
            <w:tcW w:type="dxa" w:w="2880"/>
          </w:tcPr>
          <w:p>
            <w:r>
              <w:rPr>
                <w:b/>
                <w:sz w:val="18"/>
              </w:rPr>
              <w:t>Frein déclaré</w:t>
            </w:r>
          </w:p>
        </w:tc>
        <w:tc>
          <w:tcPr>
            <w:tcW w:type="dxa" w:w="2880"/>
          </w:tcPr>
          <w:p>
            <w:r>
              <w:rPr>
                <w:b/>
                <w:sz w:val="18"/>
              </w:rPr>
              <w:t>Proportion</w:t>
            </w:r>
          </w:p>
        </w:tc>
      </w:tr>
      <w:tr>
        <w:tc>
          <w:tcPr>
            <w:tcW w:type="dxa" w:w="2880"/>
          </w:tcPr>
          <w:p>
            <w:r>
              <w:rPr>
                <w:sz w:val="18"/>
              </w:rPr>
              <w:t>1</w:t>
            </w:r>
          </w:p>
        </w:tc>
        <w:tc>
          <w:tcPr>
            <w:tcW w:type="dxa" w:w="2880"/>
          </w:tcPr>
          <w:p>
            <w:r>
              <w:rPr>
                <w:sz w:val="18"/>
              </w:rPr>
              <w:t>Manque d’accompagnement</w:t>
            </w:r>
          </w:p>
        </w:tc>
        <w:tc>
          <w:tcPr>
            <w:tcW w:type="dxa" w:w="2880"/>
          </w:tcPr>
          <w:p>
            <w:r>
              <w:rPr>
                <w:sz w:val="18"/>
              </w:rPr>
              <w:t>55 %</w:t>
            </w:r>
          </w:p>
        </w:tc>
      </w:tr>
      <w:tr>
        <w:tc>
          <w:tcPr>
            <w:tcW w:type="dxa" w:w="2880"/>
          </w:tcPr>
          <w:p>
            <w:r>
              <w:rPr>
                <w:sz w:val="18"/>
              </w:rPr>
              <w:t>2</w:t>
            </w:r>
          </w:p>
        </w:tc>
        <w:tc>
          <w:tcPr>
            <w:tcW w:type="dxa" w:w="2880"/>
          </w:tcPr>
          <w:p>
            <w:r>
              <w:rPr>
                <w:sz w:val="18"/>
              </w:rPr>
              <w:t>Sécurité et confidentialité des données</w:t>
            </w:r>
          </w:p>
        </w:tc>
        <w:tc>
          <w:tcPr>
            <w:tcW w:type="dxa" w:w="2880"/>
          </w:tcPr>
          <w:p>
            <w:r>
              <w:rPr>
                <w:sz w:val="18"/>
              </w:rPr>
              <w:t>41 %</w:t>
            </w:r>
          </w:p>
        </w:tc>
      </w:tr>
      <w:tr>
        <w:tc>
          <w:tcPr>
            <w:tcW w:type="dxa" w:w="2880"/>
          </w:tcPr>
          <w:p>
            <w:r>
              <w:rPr>
                <w:sz w:val="18"/>
              </w:rPr>
              <w:t>3</w:t>
            </w:r>
          </w:p>
        </w:tc>
        <w:tc>
          <w:tcPr>
            <w:tcW w:type="dxa" w:w="2880"/>
          </w:tcPr>
          <w:p>
            <w:r>
              <w:rPr>
                <w:sz w:val="18"/>
              </w:rPr>
              <w:t>Fiabilité des technologies</w:t>
            </w:r>
          </w:p>
        </w:tc>
        <w:tc>
          <w:tcPr>
            <w:tcW w:type="dxa" w:w="2880"/>
          </w:tcPr>
          <w:p>
            <w:r>
              <w:rPr>
                <w:sz w:val="18"/>
              </w:rPr>
              <w:t>25,7 %</w:t>
            </w:r>
          </w:p>
        </w:tc>
      </w:tr>
    </w:tbl>
    <w:p>
      <w:pPr>
        <w:jc w:val="both"/>
      </w:pPr>
      <w:r>
        <w:t>Le manque d’accompagnement se détache nettement comme premier frein, devant les préoccupations de sécurité et de fiabilité. Ce résultat oriente directement les recommandations du chapitre 5, en désignant la médiation humaine comme levier prioritaire de réduction de la fracture numérique en santé.</w:t>
      </w:r>
    </w:p>
    <w:p>
      <w:pPr>
        <w:pStyle w:val="Heading3"/>
      </w:pPr>
      <w:r>
        <w:t>3.6.6 Bénéfices perçus (axe « expérience patient »)</w:t>
      </w:r>
    </w:p>
    <w:p>
      <w:pPr>
        <w:jc w:val="both"/>
      </w:pPr>
      <w:r>
        <w:t>Parmi les répondants souhaitant une place accrue du numérique en santé, les bénéfices anticipés sont avant tout d’ordre administratif et organisationnel — gain de temps et accès simplifié aux soignants — au détriment des bénéfices proprement médicaux tels qu’un diagnostic plus fiable ou des conseils personnalisés. Le numérique en santé n’est donc pas encore perçu comme un « allié thérapeutique », mais comme un facilitateur logistique du parcours de soins.</w:t>
      </w:r>
    </w:p>
    <w:p>
      <w:pPr>
        <w:jc w:val="center"/>
      </w:pPr>
      <w:r>
        <w:drawing>
          <wp:inline xmlns:a="http://schemas.openxmlformats.org/drawingml/2006/main" xmlns:pic="http://schemas.openxmlformats.org/drawingml/2006/picture">
            <wp:extent cx="5760000" cy="1385567"/>
            <wp:docPr id="1" name="Picture 1"/>
            <wp:cNvGraphicFramePr>
              <a:graphicFrameLocks noChangeAspect="1"/>
            </wp:cNvGraphicFramePr>
            <a:graphic>
              <a:graphicData uri="http://schemas.openxmlformats.org/drawingml/2006/picture">
                <pic:pic>
                  <pic:nvPicPr>
                    <pic:cNvPr id="0" name="figure12_benefices_percus.png"/>
                    <pic:cNvPicPr/>
                  </pic:nvPicPr>
                  <pic:blipFill>
                    <a:blip r:embed="rId9"/>
                    <a:stretch>
                      <a:fillRect/>
                    </a:stretch>
                  </pic:blipFill>
                  <pic:spPr>
                    <a:xfrm>
                      <a:off x="0" y="0"/>
                      <a:ext cx="5760000" cy="1385567"/>
                    </a:xfrm>
                    <a:prstGeom prst="rect"/>
                  </pic:spPr>
                </pic:pic>
              </a:graphicData>
            </a:graphic>
          </wp:inline>
        </w:drawing>
      </w:r>
    </w:p>
    <w:p>
      <w:pPr>
        <w:jc w:val="center"/>
      </w:pPr>
      <w:r>
        <w:rPr>
          <w:b/>
          <w:sz w:val="20"/>
        </w:rPr>
        <w:t>Figure 12 — Bénéfices perçus du numérique en santé selon l’âge (source : Baromètre Doctoome #eSANTÉ26, 2026)</w:t>
      </w:r>
    </w:p>
    <w:p>
      <w:pPr>
        <w:pStyle w:val="Heading3"/>
      </w:pPr>
      <w:r>
        <w:t>3.6.7 Impact perçu sur la relation patient–soignant (axe « expérience patient »)</w:t>
      </w:r>
    </w:p>
    <w:p>
      <w:pPr>
        <w:jc w:val="both"/>
      </w:pPr>
      <w:r>
        <w:t>Interrogés sur l’effet du numérique sur la relation avec leur professionnel de santé, les répondants se répartissent en trois ensembles d’ampleur comparable, sans qu’une perception positive ne se dégage majoritairement.</w:t>
      </w:r>
    </w:p>
    <w:p>
      <w:pPr>
        <w:jc w:val="center"/>
      </w:pPr>
      <w:r>
        <w:rPr>
          <w:b/>
          <w:sz w:val="20"/>
        </w:rPr>
        <w:t>Tableau 7 — Impact perçu du numérique sur la relation patient–soignant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Perception</w:t>
            </w:r>
          </w:p>
        </w:tc>
        <w:tc>
          <w:tcPr>
            <w:tcW w:type="dxa" w:w="4320"/>
          </w:tcPr>
          <w:p>
            <w:r>
              <w:rPr>
                <w:b/>
                <w:sz w:val="18"/>
              </w:rPr>
              <w:t>Proportion</w:t>
            </w:r>
          </w:p>
        </w:tc>
      </w:tr>
      <w:tr>
        <w:tc>
          <w:tcPr>
            <w:tcW w:type="dxa" w:w="4320"/>
          </w:tcPr>
          <w:p>
            <w:r>
              <w:rPr>
                <w:sz w:val="18"/>
              </w:rPr>
              <w:t>Pas d’effet</w:t>
            </w:r>
          </w:p>
        </w:tc>
        <w:tc>
          <w:tcPr>
            <w:tcW w:type="dxa" w:w="4320"/>
          </w:tcPr>
          <w:p>
            <w:r>
              <w:rPr>
                <w:sz w:val="18"/>
              </w:rPr>
              <w:t>38,4 %</w:t>
            </w:r>
          </w:p>
        </w:tc>
      </w:tr>
      <w:tr>
        <w:tc>
          <w:tcPr>
            <w:tcW w:type="dxa" w:w="4320"/>
          </w:tcPr>
          <w:p>
            <w:r>
              <w:rPr>
                <w:sz w:val="18"/>
              </w:rPr>
              <w:t>La détériore</w:t>
            </w:r>
          </w:p>
        </w:tc>
        <w:tc>
          <w:tcPr>
            <w:tcW w:type="dxa" w:w="4320"/>
          </w:tcPr>
          <w:p>
            <w:r>
              <w:rPr>
                <w:sz w:val="18"/>
              </w:rPr>
              <w:t>36,4 %</w:t>
            </w:r>
          </w:p>
        </w:tc>
      </w:tr>
      <w:tr>
        <w:tc>
          <w:tcPr>
            <w:tcW w:type="dxa" w:w="4320"/>
          </w:tcPr>
          <w:p>
            <w:r>
              <w:rPr>
                <w:sz w:val="18"/>
              </w:rPr>
              <w:t>L’améliore</w:t>
            </w:r>
          </w:p>
        </w:tc>
        <w:tc>
          <w:tcPr>
            <w:tcW w:type="dxa" w:w="4320"/>
          </w:tcPr>
          <w:p>
            <w:r>
              <w:rPr>
                <w:sz w:val="18"/>
              </w:rPr>
              <w:t>25,3 %</w:t>
            </w:r>
          </w:p>
        </w:tc>
      </w:tr>
    </w:tbl>
    <w:p>
      <w:pPr>
        <w:jc w:val="both"/>
      </w:pPr>
      <w:r>
        <w:t>Le fait qu’une part substantielle des répondants (36,4 %) estime que le numérique détériore la relation de soin constitue un signal d’alerte. L’analyse ciblée des utilisateurs occasionnels ayant exprimé cette perception révèle un profil émotionnel dominé par la méfiance (41,5 %) et l’anxiété (11 %), associé à des freins très concrets : manque d’accompagnement (63 %) et problèmes de fiabilité technique (28 %). Ces personnes utilisent les outils « sans sécurité émotionnelle » : l’usage existe, mais il n’est pas porté par la confiance. Là encore, l’accompagnement apparaît comme la variable pivot.</w:t>
      </w:r>
    </w:p>
    <w:p>
      <w:pPr>
        <w:pStyle w:val="Heading3"/>
      </w:pPr>
      <w:r>
        <w:t>3.6.8 Synthèse des résultats de l’enquête</w:t>
      </w:r>
    </w:p>
    <w:p>
      <w:pPr>
        <w:jc w:val="both"/>
      </w:pPr>
      <w:r>
        <w:t>En synthèse, l’enquête dresse le portrait d’une population largement entrée dans le numérique en santé, mais de façon inégale et ambivalente. L’adoption est forte mais médiée par l’âge, la profession et le territoire ; les plateformes de prise de rendez-vous dominent les usages ; la confiance est polarisée ; les bénéfices perçus restent administratifs plutôt que médicaux ; et l’impact sur la relation de soin est loin d’être unanimement positif. Le manque d’accompagnement traverse l’ensemble des résultats comme le frein le plus structurant. Ces constats sont mis en perspective avec la littérature dans le chapitre suivant.</w:t>
      </w:r>
    </w:p>
    <w:p>
      <w:r>
        <w:br w:type="page"/>
      </w:r>
    </w:p>
    <w:p>
      <w:pPr>
        <w:pStyle w:val="Heading2"/>
      </w:pPr>
      <w:r>
        <w:t>Annexe 1 — Tableau de synthèse des études incluses (N = 21)</w:t>
      </w:r>
    </w:p>
    <w:p>
      <w:pPr>
        <w:jc w:val="both"/>
      </w:pPr>
      <w:r>
        <w:t>Échelle indicative des niveaux de preuve (type HAS / CEBM) : I = essai contrôlé randomisé de forte puissance ou méta-analyse ; II = essai randomisé de faible puissance ou analyse secondaire d’essai randomisé ; III = cohorte / cas-témoins ; IV = étude transversale, registre, série ; Éco = évaluation médico-économique par modélisation ; Protocole = essai enregistré sans résultats.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N°</w:t>
            </w:r>
          </w:p>
        </w:tc>
        <w:tc>
          <w:tcPr>
            <w:tcW w:type="dxa" w:w="1234"/>
          </w:tcPr>
          <w:p>
            <w:r>
              <w:rPr>
                <w:b/>
                <w:sz w:val="18"/>
              </w:rPr>
              <w:t>Référence (1er auteur, année)</w:t>
            </w:r>
          </w:p>
        </w:tc>
        <w:tc>
          <w:tcPr>
            <w:tcW w:type="dxa" w:w="1234"/>
          </w:tcPr>
          <w:p>
            <w:r>
              <w:rPr>
                <w:b/>
                <w:sz w:val="18"/>
              </w:rPr>
              <w:t>Design</w:t>
            </w:r>
          </w:p>
        </w:tc>
        <w:tc>
          <w:tcPr>
            <w:tcW w:type="dxa" w:w="1234"/>
          </w:tcPr>
          <w:p>
            <w:r>
              <w:rPr>
                <w:b/>
                <w:sz w:val="18"/>
              </w:rPr>
              <w:t>Niv.</w:t>
            </w:r>
          </w:p>
        </w:tc>
        <w:tc>
          <w:tcPr>
            <w:tcW w:type="dxa" w:w="1234"/>
          </w:tcPr>
          <w:p>
            <w:r>
              <w:rPr>
                <w:b/>
                <w:sz w:val="18"/>
              </w:rPr>
              <w:t>Outil / plateforme</w:t>
            </w:r>
          </w:p>
        </w:tc>
        <w:tc>
          <w:tcPr>
            <w:tcW w:type="dxa" w:w="1234"/>
          </w:tcPr>
          <w:p>
            <w:r>
              <w:rPr>
                <w:b/>
                <w:sz w:val="18"/>
              </w:rPr>
              <w:t>Indicateur principal</w:t>
            </w:r>
          </w:p>
        </w:tc>
        <w:tc>
          <w:tcPr>
            <w:tcW w:type="dxa" w:w="1234"/>
          </w:tcPr>
          <w:p>
            <w:r>
              <w:rPr>
                <w:b/>
                <w:sz w:val="18"/>
              </w:rPr>
              <w:t>Dimension principale</w:t>
            </w:r>
          </w:p>
        </w:tc>
      </w:tr>
      <w:tr>
        <w:tc>
          <w:tcPr>
            <w:tcW w:type="dxa" w:w="1234"/>
          </w:tcPr>
          <w:p>
            <w:r>
              <w:rPr>
                <w:sz w:val="18"/>
              </w:rPr>
              <w:t>1</w:t>
            </w:r>
          </w:p>
        </w:tc>
        <w:tc>
          <w:tcPr>
            <w:tcW w:type="dxa" w:w="1234"/>
          </w:tcPr>
          <w:p>
            <w:r>
              <w:rPr>
                <w:sz w:val="18"/>
              </w:rPr>
              <w:t>Wallut, 2020 (Int J Technol Assess Health Care)</w:t>
            </w:r>
          </w:p>
        </w:tc>
        <w:tc>
          <w:tcPr>
            <w:tcW w:type="dxa" w:w="1234"/>
          </w:tcPr>
          <w:p>
            <w:r>
              <w:rPr>
                <w:sz w:val="18"/>
              </w:rPr>
              <w:t>Modèle médico-économique (analyse décisionnelle)</w:t>
            </w:r>
          </w:p>
        </w:tc>
        <w:tc>
          <w:tcPr>
            <w:tcW w:type="dxa" w:w="1234"/>
          </w:tcPr>
          <w:p>
            <w:r>
              <w:rPr>
                <w:sz w:val="18"/>
              </w:rPr>
              <w:t>Éco</w:t>
            </w:r>
          </w:p>
        </w:tc>
        <w:tc>
          <w:tcPr>
            <w:tcW w:type="dxa" w:w="1234"/>
          </w:tcPr>
          <w:p>
            <w:r>
              <w:rPr>
                <w:sz w:val="18"/>
              </w:rPr>
              <w:t>Télémédecine AVC (telestroke)</w:t>
            </w:r>
          </w:p>
        </w:tc>
        <w:tc>
          <w:tcPr>
            <w:tcW w:type="dxa" w:w="1234"/>
          </w:tcPr>
          <w:p>
            <w:r>
              <w:rPr>
                <w:sz w:val="18"/>
              </w:rPr>
              <w:t>Coût-efficacité ; mortalité et handicap à 3 mois</w:t>
            </w:r>
          </w:p>
        </w:tc>
        <w:tc>
          <w:tcPr>
            <w:tcW w:type="dxa" w:w="1234"/>
          </w:tcPr>
          <w:p>
            <w:r>
              <w:rPr>
                <w:sz w:val="18"/>
              </w:rPr>
              <w:t>Accès (urgence) + résultats cliniques</w:t>
            </w:r>
          </w:p>
        </w:tc>
      </w:tr>
      <w:tr>
        <w:tc>
          <w:tcPr>
            <w:tcW w:type="dxa" w:w="1234"/>
          </w:tcPr>
          <w:p>
            <w:r>
              <w:rPr>
                <w:sz w:val="18"/>
              </w:rPr>
              <w:t>2</w:t>
            </w:r>
          </w:p>
        </w:tc>
        <w:tc>
          <w:tcPr>
            <w:tcW w:type="dxa" w:w="1234"/>
          </w:tcPr>
          <w:p>
            <w:r>
              <w:rPr>
                <w:sz w:val="18"/>
              </w:rPr>
              <w:t>Minvielle, 2025 (J Med Internet Res)</w:t>
            </w:r>
          </w:p>
        </w:tc>
        <w:tc>
          <w:tcPr>
            <w:tcW w:type="dxa" w:w="1234"/>
          </w:tcPr>
          <w:p>
            <w:r>
              <w:rPr>
                <w:sz w:val="18"/>
              </w:rPr>
              <w:t>Analyse secondaire d’un ECR (phase 3)</w:t>
            </w:r>
          </w:p>
        </w:tc>
        <w:tc>
          <w:tcPr>
            <w:tcW w:type="dxa" w:w="1234"/>
          </w:tcPr>
          <w:p>
            <w:r>
              <w:rPr>
                <w:sz w:val="18"/>
              </w:rPr>
              <w:t>II</w:t>
            </w:r>
          </w:p>
        </w:tc>
        <w:tc>
          <w:tcPr>
            <w:tcW w:type="dxa" w:w="1234"/>
          </w:tcPr>
          <w:p>
            <w:r>
              <w:rPr>
                <w:sz w:val="18"/>
              </w:rPr>
              <w:t>CAPRI : télésurveillance + infirmières pivot</w:t>
            </w:r>
          </w:p>
        </w:tc>
        <w:tc>
          <w:tcPr>
            <w:tcW w:type="dxa" w:w="1234"/>
          </w:tcPr>
          <w:p>
            <w:r>
              <w:rPr>
                <w:sz w:val="18"/>
              </w:rPr>
              <w:t>Satisfaction, toxicités, hospitalisations</w:t>
            </w:r>
          </w:p>
        </w:tc>
        <w:tc>
          <w:tcPr>
            <w:tcW w:type="dxa" w:w="1234"/>
          </w:tcPr>
          <w:p>
            <w:r>
              <w:rPr>
                <w:sz w:val="18"/>
              </w:rPr>
              <w:t>Coordination + expérience</w:t>
            </w:r>
          </w:p>
        </w:tc>
      </w:tr>
      <w:tr>
        <w:tc>
          <w:tcPr>
            <w:tcW w:type="dxa" w:w="1234"/>
          </w:tcPr>
          <w:p>
            <w:r>
              <w:rPr>
                <w:sz w:val="18"/>
              </w:rPr>
              <w:t>3</w:t>
            </w:r>
          </w:p>
        </w:tc>
        <w:tc>
          <w:tcPr>
            <w:tcW w:type="dxa" w:w="1234"/>
          </w:tcPr>
          <w:p>
            <w:r>
              <w:rPr>
                <w:sz w:val="18"/>
              </w:rPr>
              <w:t>Firn, 2021 (Rev Med Interne)</w:t>
            </w:r>
          </w:p>
        </w:tc>
        <w:tc>
          <w:tcPr>
            <w:tcW w:type="dxa" w:w="1234"/>
          </w:tcPr>
          <w:p>
            <w:r>
              <w:rPr>
                <w:sz w:val="18"/>
              </w:rPr>
              <w:t>Transversale descriptive (questionnaire national)</w:t>
            </w:r>
          </w:p>
        </w:tc>
        <w:tc>
          <w:tcPr>
            <w:tcW w:type="dxa" w:w="1234"/>
          </w:tcPr>
          <w:p>
            <w:r>
              <w:rPr>
                <w:sz w:val="18"/>
              </w:rPr>
              <w:t>IV</w:t>
            </w:r>
          </w:p>
        </w:tc>
        <w:tc>
          <w:tcPr>
            <w:tcW w:type="dxa" w:w="1234"/>
          </w:tcPr>
          <w:p>
            <w:r>
              <w:rPr>
                <w:sz w:val="18"/>
              </w:rPr>
              <w:t>Téléconsultation / télé-expertise (méd. interne)</w:t>
            </w:r>
          </w:p>
        </w:tc>
        <w:tc>
          <w:tcPr>
            <w:tcW w:type="dxa" w:w="1234"/>
          </w:tcPr>
          <w:p>
            <w:r>
              <w:rPr>
                <w:sz w:val="18"/>
              </w:rPr>
              <w:t>Connaissances, pratiques, freins</w:t>
            </w:r>
          </w:p>
        </w:tc>
        <w:tc>
          <w:tcPr>
            <w:tcW w:type="dxa" w:w="1234"/>
          </w:tcPr>
          <w:p>
            <w:r>
              <w:rPr>
                <w:sz w:val="18"/>
              </w:rPr>
              <w:t>Coordination + appropriation pro</w:t>
            </w:r>
          </w:p>
        </w:tc>
      </w:tr>
      <w:tr>
        <w:tc>
          <w:tcPr>
            <w:tcW w:type="dxa" w:w="1234"/>
          </w:tcPr>
          <w:p>
            <w:r>
              <w:rPr>
                <w:sz w:val="18"/>
              </w:rPr>
              <w:t>4</w:t>
            </w:r>
          </w:p>
        </w:tc>
        <w:tc>
          <w:tcPr>
            <w:tcW w:type="dxa" w:w="1234"/>
          </w:tcPr>
          <w:p>
            <w:r>
              <w:rPr>
                <w:sz w:val="18"/>
              </w:rPr>
              <w:t>Bizot, 2021 (Br J Cancer)</w:t>
            </w:r>
          </w:p>
        </w:tc>
        <w:tc>
          <w:tcPr>
            <w:tcW w:type="dxa" w:w="1234"/>
          </w:tcPr>
          <w:p>
            <w:r>
              <w:rPr>
                <w:sz w:val="18"/>
              </w:rPr>
              <w:t>Transversale multicentrique (enquête)</w:t>
            </w:r>
          </w:p>
        </w:tc>
        <w:tc>
          <w:tcPr>
            <w:tcW w:type="dxa" w:w="1234"/>
          </w:tcPr>
          <w:p>
            <w:r>
              <w:rPr>
                <w:sz w:val="18"/>
              </w:rPr>
              <w:t>IV</w:t>
            </w:r>
          </w:p>
        </w:tc>
        <w:tc>
          <w:tcPr>
            <w:tcW w:type="dxa" w:w="1234"/>
          </w:tcPr>
          <w:p>
            <w:r>
              <w:rPr>
                <w:sz w:val="18"/>
              </w:rPr>
              <w:t>Téléconsultations d’oncologie (cancer du sein)</w:t>
            </w:r>
          </w:p>
        </w:tc>
        <w:tc>
          <w:tcPr>
            <w:tcW w:type="dxa" w:w="1234"/>
          </w:tcPr>
          <w:p>
            <w:r>
              <w:rPr>
                <w:sz w:val="18"/>
              </w:rPr>
              <w:t>Satisfaction (OUT-PATSAT 35, TSQ)</w:t>
            </w:r>
          </w:p>
        </w:tc>
        <w:tc>
          <w:tcPr>
            <w:tcW w:type="dxa" w:w="1234"/>
          </w:tcPr>
          <w:p>
            <w:r>
              <w:rPr>
                <w:sz w:val="18"/>
              </w:rPr>
              <w:t>Expérience patient</w:t>
            </w:r>
          </w:p>
        </w:tc>
      </w:tr>
      <w:tr>
        <w:tc>
          <w:tcPr>
            <w:tcW w:type="dxa" w:w="1234"/>
          </w:tcPr>
          <w:p>
            <w:r>
              <w:rPr>
                <w:sz w:val="18"/>
              </w:rPr>
              <w:t>5</w:t>
            </w:r>
          </w:p>
        </w:tc>
        <w:tc>
          <w:tcPr>
            <w:tcW w:type="dxa" w:w="1234"/>
          </w:tcPr>
          <w:p>
            <w:r>
              <w:rPr>
                <w:sz w:val="18"/>
              </w:rPr>
              <w:t>Magnol, 2021 (J Med Internet Res)</w:t>
            </w:r>
          </w:p>
        </w:tc>
        <w:tc>
          <w:tcPr>
            <w:tcW w:type="dxa" w:w="1234"/>
          </w:tcPr>
          <w:p>
            <w:r>
              <w:rPr>
                <w:sz w:val="18"/>
              </w:rPr>
              <w:t>Observationnelle transversale multicentrique</w:t>
            </w:r>
          </w:p>
        </w:tc>
        <w:tc>
          <w:tcPr>
            <w:tcW w:type="dxa" w:w="1234"/>
          </w:tcPr>
          <w:p>
            <w:r>
              <w:rPr>
                <w:sz w:val="18"/>
              </w:rPr>
              <w:t>IV</w:t>
            </w:r>
          </w:p>
        </w:tc>
        <w:tc>
          <w:tcPr>
            <w:tcW w:type="dxa" w:w="1234"/>
          </w:tcPr>
          <w:p>
            <w:r>
              <w:rPr>
                <w:sz w:val="18"/>
              </w:rPr>
              <w:t>Outils e-santé (polyarthrite rhumatoïde)</w:t>
            </w:r>
          </w:p>
        </w:tc>
        <w:tc>
          <w:tcPr>
            <w:tcW w:type="dxa" w:w="1234"/>
          </w:tcPr>
          <w:p>
            <w:r>
              <w:rPr>
                <w:sz w:val="18"/>
              </w:rPr>
              <w:t>Accès aux outils, usages, attentes</w:t>
            </w:r>
          </w:p>
        </w:tc>
        <w:tc>
          <w:tcPr>
            <w:tcW w:type="dxa" w:w="1234"/>
          </w:tcPr>
          <w:p>
            <w:r>
              <w:rPr>
                <w:sz w:val="18"/>
              </w:rPr>
              <w:t>Expérience + prérequis num.</w:t>
            </w:r>
          </w:p>
        </w:tc>
      </w:tr>
      <w:tr>
        <w:tc>
          <w:tcPr>
            <w:tcW w:type="dxa" w:w="1234"/>
          </w:tcPr>
          <w:p>
            <w:r>
              <w:rPr>
                <w:sz w:val="18"/>
              </w:rPr>
              <w:t>6</w:t>
            </w:r>
          </w:p>
        </w:tc>
        <w:tc>
          <w:tcPr>
            <w:tcW w:type="dxa" w:w="1234"/>
          </w:tcPr>
          <w:p>
            <w:r>
              <w:rPr>
                <w:sz w:val="18"/>
              </w:rPr>
              <w:t>Pezel, 2021 (Arch Cardiovasc Dis — OFICSel)</w:t>
            </w:r>
          </w:p>
        </w:tc>
        <w:tc>
          <w:tcPr>
            <w:tcW w:type="dxa" w:w="1234"/>
          </w:tcPr>
          <w:p>
            <w:r>
              <w:rPr>
                <w:sz w:val="18"/>
              </w:rPr>
              <w:t>Registre observationnel multicentrique</w:t>
            </w:r>
          </w:p>
        </w:tc>
        <w:tc>
          <w:tcPr>
            <w:tcW w:type="dxa" w:w="1234"/>
          </w:tcPr>
          <w:p>
            <w:r>
              <w:rPr>
                <w:sz w:val="18"/>
              </w:rPr>
              <w:t>IV</w:t>
            </w:r>
          </w:p>
        </w:tc>
        <w:tc>
          <w:tcPr>
            <w:tcW w:type="dxa" w:w="1234"/>
          </w:tcPr>
          <w:p>
            <w:r>
              <w:rPr>
                <w:sz w:val="18"/>
              </w:rPr>
              <w:t>Usage du smartphone (insuffisance cardiaque)</w:t>
            </w:r>
          </w:p>
        </w:tc>
        <w:tc>
          <w:tcPr>
            <w:tcW w:type="dxa" w:w="1234"/>
          </w:tcPr>
          <w:p>
            <w:r>
              <w:rPr>
                <w:sz w:val="18"/>
              </w:rPr>
              <w:t>Prévalence de l’usage, profil utilisateurs</w:t>
            </w:r>
          </w:p>
        </w:tc>
        <w:tc>
          <w:tcPr>
            <w:tcW w:type="dxa" w:w="1234"/>
          </w:tcPr>
          <w:p>
            <w:r>
              <w:rPr>
                <w:sz w:val="18"/>
              </w:rPr>
              <w:t>Inégalités d’accès</w:t>
            </w:r>
          </w:p>
        </w:tc>
      </w:tr>
      <w:tr>
        <w:tc>
          <w:tcPr>
            <w:tcW w:type="dxa" w:w="1234"/>
          </w:tcPr>
          <w:p>
            <w:r>
              <w:rPr>
                <w:sz w:val="18"/>
              </w:rPr>
              <w:t>7</w:t>
            </w:r>
          </w:p>
        </w:tc>
        <w:tc>
          <w:tcPr>
            <w:tcW w:type="dxa" w:w="1234"/>
          </w:tcPr>
          <w:p>
            <w:r>
              <w:rPr>
                <w:sz w:val="18"/>
              </w:rPr>
              <w:t>Derache, 2020 (Rev Neurol)</w:t>
            </w:r>
          </w:p>
        </w:tc>
        <w:tc>
          <w:tcPr>
            <w:tcW w:type="dxa" w:w="1234"/>
          </w:tcPr>
          <w:p>
            <w:r>
              <w:rPr>
                <w:sz w:val="18"/>
              </w:rPr>
              <w:t>Rétrospective descriptive</w:t>
            </w:r>
          </w:p>
        </w:tc>
        <w:tc>
          <w:tcPr>
            <w:tcW w:type="dxa" w:w="1234"/>
          </w:tcPr>
          <w:p>
            <w:r>
              <w:rPr>
                <w:sz w:val="18"/>
              </w:rPr>
              <w:t>IV</w:t>
            </w:r>
          </w:p>
        </w:tc>
        <w:tc>
          <w:tcPr>
            <w:tcW w:type="dxa" w:w="1234"/>
          </w:tcPr>
          <w:p>
            <w:r>
              <w:rPr>
                <w:sz w:val="18"/>
              </w:rPr>
              <w:t>Télé-SEP : télé-expertise (SEP)</w:t>
            </w:r>
          </w:p>
        </w:tc>
        <w:tc>
          <w:tcPr>
            <w:tcW w:type="dxa" w:w="1234"/>
          </w:tcPr>
          <w:p>
            <w:r>
              <w:rPr>
                <w:sz w:val="18"/>
              </w:rPr>
              <w:t>Décisions, évitement de consultations</w:t>
            </w:r>
          </w:p>
        </w:tc>
        <w:tc>
          <w:tcPr>
            <w:tcW w:type="dxa" w:w="1234"/>
          </w:tcPr>
          <w:p>
            <w:r>
              <w:rPr>
                <w:sz w:val="18"/>
              </w:rPr>
              <w:t>Coordination spécialisée</w:t>
            </w:r>
          </w:p>
        </w:tc>
      </w:tr>
      <w:tr>
        <w:tc>
          <w:tcPr>
            <w:tcW w:type="dxa" w:w="1234"/>
          </w:tcPr>
          <w:p>
            <w:r>
              <w:rPr>
                <w:sz w:val="18"/>
              </w:rPr>
              <w:t>8</w:t>
            </w:r>
          </w:p>
        </w:tc>
        <w:tc>
          <w:tcPr>
            <w:tcW w:type="dxa" w:w="1234"/>
          </w:tcPr>
          <w:p>
            <w:r>
              <w:rPr>
                <w:sz w:val="18"/>
              </w:rPr>
              <w:t>Téot, 2020 (Int J Low Extrem Wounds — Domoplaies)</w:t>
            </w:r>
          </w:p>
        </w:tc>
        <w:tc>
          <w:tcPr>
            <w:tcW w:type="dxa" w:w="1234"/>
          </w:tcPr>
          <w:p>
            <w:r>
              <w:rPr>
                <w:sz w:val="18"/>
              </w:rPr>
              <w:t>Essai contrôlé randomisé</w:t>
            </w:r>
          </w:p>
        </w:tc>
        <w:tc>
          <w:tcPr>
            <w:tcW w:type="dxa" w:w="1234"/>
          </w:tcPr>
          <w:p>
            <w:r>
              <w:rPr>
                <w:sz w:val="18"/>
              </w:rPr>
              <w:t>I</w:t>
            </w:r>
          </w:p>
        </w:tc>
        <w:tc>
          <w:tcPr>
            <w:tcW w:type="dxa" w:w="1234"/>
          </w:tcPr>
          <w:p>
            <w:r>
              <w:rPr>
                <w:sz w:val="18"/>
              </w:rPr>
              <w:t>Télé-expertise plaies complexes à domicile</w:t>
            </w:r>
          </w:p>
        </w:tc>
        <w:tc>
          <w:tcPr>
            <w:tcW w:type="dxa" w:w="1234"/>
          </w:tcPr>
          <w:p>
            <w:r>
              <w:rPr>
                <w:sz w:val="18"/>
              </w:rPr>
              <w:t>Cicatrisation, délai, coûts de transport</w:t>
            </w:r>
          </w:p>
        </w:tc>
        <w:tc>
          <w:tcPr>
            <w:tcW w:type="dxa" w:w="1234"/>
          </w:tcPr>
          <w:p>
            <w:r>
              <w:rPr>
                <w:sz w:val="18"/>
              </w:rPr>
              <w:t>Accès + efficacité + coût</w:t>
            </w:r>
          </w:p>
        </w:tc>
      </w:tr>
      <w:tr>
        <w:tc>
          <w:tcPr>
            <w:tcW w:type="dxa" w:w="1234"/>
          </w:tcPr>
          <w:p>
            <w:r>
              <w:rPr>
                <w:sz w:val="18"/>
              </w:rPr>
              <w:t>9</w:t>
            </w:r>
          </w:p>
        </w:tc>
        <w:tc>
          <w:tcPr>
            <w:tcW w:type="dxa" w:w="1234"/>
          </w:tcPr>
          <w:p>
            <w:r>
              <w:rPr>
                <w:sz w:val="18"/>
              </w:rPr>
              <w:t>Bourdon, 2020 (J Fr Ophtalmol)</w:t>
            </w:r>
          </w:p>
        </w:tc>
        <w:tc>
          <w:tcPr>
            <w:tcW w:type="dxa" w:w="1234"/>
          </w:tcPr>
          <w:p>
            <w:r>
              <w:rPr>
                <w:sz w:val="18"/>
              </w:rPr>
              <w:t>Prospective observationnelle (cohorte)</w:t>
            </w:r>
          </w:p>
        </w:tc>
        <w:tc>
          <w:tcPr>
            <w:tcW w:type="dxa" w:w="1234"/>
          </w:tcPr>
          <w:p>
            <w:r>
              <w:rPr>
                <w:sz w:val="18"/>
              </w:rPr>
              <w:t>III</w:t>
            </w:r>
          </w:p>
        </w:tc>
        <w:tc>
          <w:tcPr>
            <w:tcW w:type="dxa" w:w="1234"/>
          </w:tcPr>
          <w:p>
            <w:r>
              <w:rPr>
                <w:sz w:val="18"/>
              </w:rPr>
              <w:t>Téléconsultation urgences ophtalmo (SOS Œil)</w:t>
            </w:r>
          </w:p>
        </w:tc>
        <w:tc>
          <w:tcPr>
            <w:tcW w:type="dxa" w:w="1234"/>
          </w:tcPr>
          <w:p>
            <w:r>
              <w:rPr>
                <w:sz w:val="18"/>
              </w:rPr>
              <w:t>Sensibilité/spécificité du tri, retards</w:t>
            </w:r>
          </w:p>
        </w:tc>
        <w:tc>
          <w:tcPr>
            <w:tcW w:type="dxa" w:w="1234"/>
          </w:tcPr>
          <w:p>
            <w:r>
              <w:rPr>
                <w:sz w:val="18"/>
              </w:rPr>
              <w:t>Accès aux soins d’urgence</w:t>
            </w:r>
          </w:p>
        </w:tc>
      </w:tr>
      <w:tr>
        <w:tc>
          <w:tcPr>
            <w:tcW w:type="dxa" w:w="1234"/>
          </w:tcPr>
          <w:p>
            <w:r>
              <w:rPr>
                <w:sz w:val="18"/>
              </w:rPr>
              <w:t>10</w:t>
            </w:r>
          </w:p>
        </w:tc>
        <w:tc>
          <w:tcPr>
            <w:tcW w:type="dxa" w:w="1234"/>
          </w:tcPr>
          <w:p>
            <w:r>
              <w:rPr>
                <w:sz w:val="18"/>
              </w:rPr>
              <w:t>Helissey, 2020 (Cancer Med — PRATICOVID)</w:t>
            </w:r>
          </w:p>
        </w:tc>
        <w:tc>
          <w:tcPr>
            <w:tcW w:type="dxa" w:w="1234"/>
          </w:tcPr>
          <w:p>
            <w:r>
              <w:rPr>
                <w:sz w:val="18"/>
              </w:rPr>
              <w:t>Observationnelle multicentrique</w:t>
            </w:r>
          </w:p>
        </w:tc>
        <w:tc>
          <w:tcPr>
            <w:tcW w:type="dxa" w:w="1234"/>
          </w:tcPr>
          <w:p>
            <w:r>
              <w:rPr>
                <w:sz w:val="18"/>
              </w:rPr>
              <w:t>IV</w:t>
            </w:r>
          </w:p>
        </w:tc>
        <w:tc>
          <w:tcPr>
            <w:tcW w:type="dxa" w:w="1234"/>
          </w:tcPr>
          <w:p>
            <w:r>
              <w:rPr>
                <w:sz w:val="18"/>
              </w:rPr>
              <w:t>Adaptation oncologie (COVID, téléconsultation)</w:t>
            </w:r>
          </w:p>
        </w:tc>
        <w:tc>
          <w:tcPr>
            <w:tcW w:type="dxa" w:w="1234"/>
          </w:tcPr>
          <w:p>
            <w:r>
              <w:rPr>
                <w:sz w:val="18"/>
              </w:rPr>
              <w:t>Prises en charge modifiées</w:t>
            </w:r>
          </w:p>
        </w:tc>
        <w:tc>
          <w:tcPr>
            <w:tcW w:type="dxa" w:w="1234"/>
          </w:tcPr>
          <w:p>
            <w:r>
              <w:rPr>
                <w:sz w:val="18"/>
              </w:rPr>
              <w:t>Organisation + continuité</w:t>
            </w:r>
          </w:p>
        </w:tc>
      </w:tr>
      <w:tr>
        <w:tc>
          <w:tcPr>
            <w:tcW w:type="dxa" w:w="1234"/>
          </w:tcPr>
          <w:p>
            <w:r>
              <w:rPr>
                <w:sz w:val="18"/>
              </w:rPr>
              <w:t>11</w:t>
            </w:r>
          </w:p>
        </w:tc>
        <w:tc>
          <w:tcPr>
            <w:tcW w:type="dxa" w:w="1234"/>
          </w:tcPr>
          <w:p>
            <w:r>
              <w:rPr>
                <w:sz w:val="18"/>
              </w:rPr>
              <w:t>Saint-Lary, 2020 (BMJ Open)</w:t>
            </w:r>
          </w:p>
        </w:tc>
        <w:tc>
          <w:tcPr>
            <w:tcW w:type="dxa" w:w="1234"/>
          </w:tcPr>
          <w:p>
            <w:r>
              <w:rPr>
                <w:sz w:val="18"/>
              </w:rPr>
              <w:t>Enquête nationale observationnelle</w:t>
            </w:r>
          </w:p>
        </w:tc>
        <w:tc>
          <w:tcPr>
            <w:tcW w:type="dxa" w:w="1234"/>
          </w:tcPr>
          <w:p>
            <w:r>
              <w:rPr>
                <w:sz w:val="18"/>
              </w:rPr>
              <w:t>IV</w:t>
            </w:r>
          </w:p>
        </w:tc>
        <w:tc>
          <w:tcPr>
            <w:tcW w:type="dxa" w:w="1234"/>
          </w:tcPr>
          <w:p>
            <w:r>
              <w:rPr>
                <w:sz w:val="18"/>
              </w:rPr>
              <w:t>Téléconsultation, réorg. cabinets de MG</w:t>
            </w:r>
          </w:p>
        </w:tc>
        <w:tc>
          <w:tcPr>
            <w:tcW w:type="dxa" w:w="1234"/>
          </w:tcPr>
          <w:p>
            <w:r>
              <w:rPr>
                <w:sz w:val="18"/>
              </w:rPr>
              <w:t>Passage au distanciel, circuits dédiés</w:t>
            </w:r>
          </w:p>
        </w:tc>
        <w:tc>
          <w:tcPr>
            <w:tcW w:type="dxa" w:w="1234"/>
          </w:tcPr>
          <w:p>
            <w:r>
              <w:rPr>
                <w:sz w:val="18"/>
              </w:rPr>
              <w:t>Accès + organisation</w:t>
            </w:r>
          </w:p>
        </w:tc>
      </w:tr>
      <w:tr>
        <w:tc>
          <w:tcPr>
            <w:tcW w:type="dxa" w:w="1234"/>
          </w:tcPr>
          <w:p>
            <w:r>
              <w:rPr>
                <w:sz w:val="18"/>
              </w:rPr>
              <w:t>12</w:t>
            </w:r>
          </w:p>
        </w:tc>
        <w:tc>
          <w:tcPr>
            <w:tcW w:type="dxa" w:w="1234"/>
          </w:tcPr>
          <w:p>
            <w:r>
              <w:rPr>
                <w:sz w:val="18"/>
              </w:rPr>
              <w:t>Ellouze, 2018 (Santé Publique)</w:t>
            </w:r>
          </w:p>
        </w:tc>
        <w:tc>
          <w:tcPr>
            <w:tcW w:type="dxa" w:w="1234"/>
          </w:tcPr>
          <w:p>
            <w:r>
              <w:rPr>
                <w:sz w:val="18"/>
              </w:rPr>
              <w:t>Transversale en officine</w:t>
            </w:r>
          </w:p>
        </w:tc>
        <w:tc>
          <w:tcPr>
            <w:tcW w:type="dxa" w:w="1234"/>
          </w:tcPr>
          <w:p>
            <w:r>
              <w:rPr>
                <w:sz w:val="18"/>
              </w:rPr>
              <w:t>IV</w:t>
            </w:r>
          </w:p>
        </w:tc>
        <w:tc>
          <w:tcPr>
            <w:tcW w:type="dxa" w:w="1234"/>
          </w:tcPr>
          <w:p>
            <w:r>
              <w:rPr>
                <w:sz w:val="18"/>
              </w:rPr>
              <w:t>Prise de RDV en ligne (généraliste)</w:t>
            </w:r>
          </w:p>
        </w:tc>
        <w:tc>
          <w:tcPr>
            <w:tcW w:type="dxa" w:w="1234"/>
          </w:tcPr>
          <w:p>
            <w:r>
              <w:rPr>
                <w:sz w:val="18"/>
              </w:rPr>
              <w:t>Facteurs associés à l’usage</w:t>
            </w:r>
          </w:p>
        </w:tc>
        <w:tc>
          <w:tcPr>
            <w:tcW w:type="dxa" w:w="1234"/>
          </w:tcPr>
          <w:p>
            <w:r>
              <w:rPr>
                <w:sz w:val="18"/>
              </w:rPr>
              <w:t>Accès + inégalités sociales</w:t>
            </w:r>
          </w:p>
        </w:tc>
      </w:tr>
      <w:tr>
        <w:tc>
          <w:tcPr>
            <w:tcW w:type="dxa" w:w="1234"/>
          </w:tcPr>
          <w:p>
            <w:r>
              <w:rPr>
                <w:sz w:val="18"/>
              </w:rPr>
              <w:t>13</w:t>
            </w:r>
          </w:p>
        </w:tc>
        <w:tc>
          <w:tcPr>
            <w:tcW w:type="dxa" w:w="1234"/>
          </w:tcPr>
          <w:p>
            <w:r>
              <w:rPr>
                <w:sz w:val="18"/>
              </w:rPr>
              <w:t>Guerrier, 2025 (J Telemed Telecare)</w:t>
            </w:r>
          </w:p>
        </w:tc>
        <w:tc>
          <w:tcPr>
            <w:tcW w:type="dxa" w:w="1234"/>
          </w:tcPr>
          <w:p>
            <w:r>
              <w:rPr>
                <w:sz w:val="18"/>
              </w:rPr>
              <w:t>Observationnelle monocentrique</w:t>
            </w:r>
          </w:p>
        </w:tc>
        <w:tc>
          <w:tcPr>
            <w:tcW w:type="dxa" w:w="1234"/>
          </w:tcPr>
          <w:p>
            <w:r>
              <w:rPr>
                <w:sz w:val="18"/>
              </w:rPr>
              <w:t>IV</w:t>
            </w:r>
          </w:p>
        </w:tc>
        <w:tc>
          <w:tcPr>
            <w:tcW w:type="dxa" w:w="1234"/>
          </w:tcPr>
          <w:p>
            <w:r>
              <w:rPr>
                <w:sz w:val="18"/>
              </w:rPr>
              <w:t>Consultation d’anesthésie par téléphone</w:t>
            </w:r>
          </w:p>
        </w:tc>
        <w:tc>
          <w:tcPr>
            <w:tcW w:type="dxa" w:w="1234"/>
          </w:tcPr>
          <w:p>
            <w:r>
              <w:rPr>
                <w:sz w:val="18"/>
              </w:rPr>
              <w:t>Annulations, sécurité, gain temps/distance</w:t>
            </w:r>
          </w:p>
        </w:tc>
        <w:tc>
          <w:tcPr>
            <w:tcW w:type="dxa" w:w="1234"/>
          </w:tcPr>
          <w:p>
            <w:r>
              <w:rPr>
                <w:sz w:val="18"/>
              </w:rPr>
              <w:t>Accès + sécurité</w:t>
            </w:r>
          </w:p>
        </w:tc>
      </w:tr>
      <w:tr>
        <w:tc>
          <w:tcPr>
            <w:tcW w:type="dxa" w:w="1234"/>
          </w:tcPr>
          <w:p>
            <w:r>
              <w:rPr>
                <w:sz w:val="18"/>
              </w:rPr>
              <w:t>14</w:t>
            </w:r>
          </w:p>
        </w:tc>
        <w:tc>
          <w:tcPr>
            <w:tcW w:type="dxa" w:w="1234"/>
          </w:tcPr>
          <w:p>
            <w:r>
              <w:rPr>
                <w:sz w:val="18"/>
              </w:rPr>
              <w:t>Bourré, 2024 (J Fr Ophtalmol)</w:t>
            </w:r>
          </w:p>
        </w:tc>
        <w:tc>
          <w:tcPr>
            <w:tcW w:type="dxa" w:w="1234"/>
          </w:tcPr>
          <w:p>
            <w:r>
              <w:rPr>
                <w:sz w:val="18"/>
              </w:rPr>
              <w:t>Rétrospective descriptive</w:t>
            </w:r>
          </w:p>
        </w:tc>
        <w:tc>
          <w:tcPr>
            <w:tcW w:type="dxa" w:w="1234"/>
          </w:tcPr>
          <w:p>
            <w:r>
              <w:rPr>
                <w:sz w:val="18"/>
              </w:rPr>
              <w:t>IV</w:t>
            </w:r>
          </w:p>
        </w:tc>
        <w:tc>
          <w:tcPr>
            <w:tcW w:type="dxa" w:w="1234"/>
          </w:tcPr>
          <w:p>
            <w:r>
              <w:rPr>
                <w:sz w:val="18"/>
              </w:rPr>
              <w:t>OMNIDOC : télé-expertise ophtalmo</w:t>
            </w:r>
          </w:p>
        </w:tc>
        <w:tc>
          <w:tcPr>
            <w:tcW w:type="dxa" w:w="1234"/>
          </w:tcPr>
          <w:p>
            <w:r>
              <w:rPr>
                <w:sz w:val="18"/>
              </w:rPr>
              <w:t>Délai de réponse, évitement du CHU</w:t>
            </w:r>
          </w:p>
        </w:tc>
        <w:tc>
          <w:tcPr>
            <w:tcW w:type="dxa" w:w="1234"/>
          </w:tcPr>
          <w:p>
            <w:r>
              <w:rPr>
                <w:sz w:val="18"/>
              </w:rPr>
              <w:t>Coordination + régulation</w:t>
            </w:r>
          </w:p>
        </w:tc>
      </w:tr>
      <w:tr>
        <w:tc>
          <w:tcPr>
            <w:tcW w:type="dxa" w:w="1234"/>
          </w:tcPr>
          <w:p>
            <w:r>
              <w:rPr>
                <w:sz w:val="18"/>
              </w:rPr>
              <w:t>15</w:t>
            </w:r>
          </w:p>
        </w:tc>
        <w:tc>
          <w:tcPr>
            <w:tcW w:type="dxa" w:w="1234"/>
          </w:tcPr>
          <w:p>
            <w:r>
              <w:rPr>
                <w:sz w:val="18"/>
              </w:rPr>
              <w:t>Testa, 2025 (J Med Internet Res — EPOCA)</w:t>
            </w:r>
          </w:p>
        </w:tc>
        <w:tc>
          <w:tcPr>
            <w:tcW w:type="dxa" w:w="1234"/>
          </w:tcPr>
          <w:p>
            <w:r>
              <w:rPr>
                <w:sz w:val="18"/>
              </w:rPr>
              <w:t>Rétrospective multicentrique</w:t>
            </w:r>
          </w:p>
        </w:tc>
        <w:tc>
          <w:tcPr>
            <w:tcW w:type="dxa" w:w="1234"/>
          </w:tcPr>
          <w:p>
            <w:r>
              <w:rPr>
                <w:sz w:val="18"/>
              </w:rPr>
              <w:t>IV</w:t>
            </w:r>
          </w:p>
        </w:tc>
        <w:tc>
          <w:tcPr>
            <w:tcW w:type="dxa" w:w="1234"/>
          </w:tcPr>
          <w:p>
            <w:r>
              <w:rPr>
                <w:sz w:val="18"/>
              </w:rPr>
              <w:t>Télésurveillance gériatrique + coord. 24/7</w:t>
            </w:r>
          </w:p>
        </w:tc>
        <w:tc>
          <w:tcPr>
            <w:tcW w:type="dxa" w:w="1234"/>
          </w:tcPr>
          <w:p>
            <w:r>
              <w:rPr>
                <w:sz w:val="18"/>
              </w:rPr>
              <w:t>Hospitalisations, urgences, durée de séjour</w:t>
            </w:r>
          </w:p>
        </w:tc>
        <w:tc>
          <w:tcPr>
            <w:tcW w:type="dxa" w:w="1234"/>
          </w:tcPr>
          <w:p>
            <w:r>
              <w:rPr>
                <w:sz w:val="18"/>
              </w:rPr>
              <w:t>Coordination + accès</w:t>
            </w:r>
          </w:p>
        </w:tc>
      </w:tr>
      <w:tr>
        <w:tc>
          <w:tcPr>
            <w:tcW w:type="dxa" w:w="1234"/>
          </w:tcPr>
          <w:p>
            <w:r>
              <w:rPr>
                <w:sz w:val="18"/>
              </w:rPr>
              <w:t>16</w:t>
            </w:r>
          </w:p>
        </w:tc>
        <w:tc>
          <w:tcPr>
            <w:tcW w:type="dxa" w:w="1234"/>
          </w:tcPr>
          <w:p>
            <w:r>
              <w:rPr>
                <w:sz w:val="18"/>
              </w:rPr>
              <w:t>Guédon-Moreau, 2014 (Europace — ECOST)</w:t>
            </w:r>
          </w:p>
        </w:tc>
        <w:tc>
          <w:tcPr>
            <w:tcW w:type="dxa" w:w="1234"/>
          </w:tcPr>
          <w:p>
            <w:r>
              <w:rPr>
                <w:sz w:val="18"/>
              </w:rPr>
              <w:t>Essai randomisé</w:t>
            </w:r>
          </w:p>
        </w:tc>
        <w:tc>
          <w:tcPr>
            <w:tcW w:type="dxa" w:w="1234"/>
          </w:tcPr>
          <w:p>
            <w:r>
              <w:rPr>
                <w:sz w:val="18"/>
              </w:rPr>
              <w:t>I / Éco</w:t>
            </w:r>
          </w:p>
        </w:tc>
        <w:tc>
          <w:tcPr>
            <w:tcW w:type="dxa" w:w="1234"/>
          </w:tcPr>
          <w:p>
            <w:r>
              <w:rPr>
                <w:sz w:val="18"/>
              </w:rPr>
              <w:t>Télésuivi des défibrillateurs implantables</w:t>
            </w:r>
          </w:p>
        </w:tc>
        <w:tc>
          <w:tcPr>
            <w:tcW w:type="dxa" w:w="1234"/>
          </w:tcPr>
          <w:p>
            <w:r>
              <w:rPr>
                <w:sz w:val="18"/>
              </w:rPr>
              <w:t>Coûts de suivi, hospitalisations, visites</w:t>
            </w:r>
          </w:p>
        </w:tc>
        <w:tc>
          <w:tcPr>
            <w:tcW w:type="dxa" w:w="1234"/>
          </w:tcPr>
          <w:p>
            <w:r>
              <w:rPr>
                <w:sz w:val="18"/>
              </w:rPr>
              <w:t>Coordination + efficience</w:t>
            </w:r>
          </w:p>
        </w:tc>
      </w:tr>
      <w:tr>
        <w:tc>
          <w:tcPr>
            <w:tcW w:type="dxa" w:w="1234"/>
          </w:tcPr>
          <w:p>
            <w:r>
              <w:rPr>
                <w:sz w:val="18"/>
              </w:rPr>
              <w:t>17</w:t>
            </w:r>
          </w:p>
        </w:tc>
        <w:tc>
          <w:tcPr>
            <w:tcW w:type="dxa" w:w="1234"/>
          </w:tcPr>
          <w:p>
            <w:r>
              <w:rPr>
                <w:sz w:val="18"/>
              </w:rPr>
              <w:t>Homs, 2025 (BMJ Open — P-HEART-NER)</w:t>
            </w:r>
          </w:p>
        </w:tc>
        <w:tc>
          <w:tcPr>
            <w:tcW w:type="dxa" w:w="1234"/>
          </w:tcPr>
          <w:p>
            <w:r>
              <w:rPr>
                <w:sz w:val="18"/>
              </w:rPr>
              <w:t>Protocole d’essai randomisé (sans résultats)</w:t>
            </w:r>
          </w:p>
        </w:tc>
        <w:tc>
          <w:tcPr>
            <w:tcW w:type="dxa" w:w="1234"/>
          </w:tcPr>
          <w:p>
            <w:r>
              <w:rPr>
                <w:sz w:val="18"/>
              </w:rPr>
              <w:t>Protocole</w:t>
            </w:r>
          </w:p>
        </w:tc>
        <w:tc>
          <w:tcPr>
            <w:tcW w:type="dxa" w:w="1234"/>
          </w:tcPr>
          <w:p>
            <w:r>
              <w:rPr>
                <w:sz w:val="18"/>
              </w:rPr>
              <w:t>ETP à distance (téléconsultations + ateliers)</w:t>
            </w:r>
          </w:p>
        </w:tc>
        <w:tc>
          <w:tcPr>
            <w:tcW w:type="dxa" w:w="1234"/>
          </w:tcPr>
          <w:p>
            <w:r>
              <w:rPr>
                <w:sz w:val="18"/>
              </w:rPr>
              <w:t>Design prévu : activité physique, indicateurs CV</w:t>
            </w:r>
          </w:p>
        </w:tc>
        <w:tc>
          <w:tcPr>
            <w:tcW w:type="dxa" w:w="1234"/>
          </w:tcPr>
          <w:p>
            <w:r>
              <w:rPr>
                <w:sz w:val="18"/>
              </w:rPr>
              <w:t>Préfiguration d’un parcours numérique</w:t>
            </w:r>
          </w:p>
        </w:tc>
      </w:tr>
      <w:tr>
        <w:tc>
          <w:tcPr>
            <w:tcW w:type="dxa" w:w="1234"/>
          </w:tcPr>
          <w:p>
            <w:r>
              <w:rPr>
                <w:sz w:val="18"/>
              </w:rPr>
              <w:t>18</w:t>
            </w:r>
          </w:p>
        </w:tc>
        <w:tc>
          <w:tcPr>
            <w:tcW w:type="dxa" w:w="1234"/>
          </w:tcPr>
          <w:p>
            <w:r>
              <w:rPr>
                <w:sz w:val="18"/>
              </w:rPr>
              <w:t>Plouvier, 2025 (JMIR Hum Factors)</w:t>
            </w:r>
          </w:p>
        </w:tc>
        <w:tc>
          <w:tcPr>
            <w:tcW w:type="dxa" w:w="1234"/>
          </w:tcPr>
          <w:p>
            <w:r>
              <w:rPr>
                <w:sz w:val="18"/>
              </w:rPr>
              <w:t>Prospective observationnelle</w:t>
            </w:r>
          </w:p>
        </w:tc>
        <w:tc>
          <w:tcPr>
            <w:tcW w:type="dxa" w:w="1234"/>
          </w:tcPr>
          <w:p>
            <w:r>
              <w:rPr>
                <w:sz w:val="18"/>
              </w:rPr>
              <w:t>IV</w:t>
            </w:r>
          </w:p>
        </w:tc>
        <w:tc>
          <w:tcPr>
            <w:tcW w:type="dxa" w:w="1234"/>
          </w:tcPr>
          <w:p>
            <w:r>
              <w:rPr>
                <w:sz w:val="18"/>
              </w:rPr>
              <w:t>Application mobile WiStim (PMA)</w:t>
            </w:r>
          </w:p>
        </w:tc>
        <w:tc>
          <w:tcPr>
            <w:tcW w:type="dxa" w:w="1234"/>
          </w:tcPr>
          <w:p>
            <w:r>
              <w:rPr>
                <w:sz w:val="18"/>
              </w:rPr>
              <w:t>Utilisabilité (USE, SUS), organisation</w:t>
            </w:r>
          </w:p>
        </w:tc>
        <w:tc>
          <w:tcPr>
            <w:tcW w:type="dxa" w:w="1234"/>
          </w:tcPr>
          <w:p>
            <w:r>
              <w:rPr>
                <w:sz w:val="18"/>
              </w:rPr>
              <w:t>Expérience + organisation</w:t>
            </w:r>
          </w:p>
        </w:tc>
      </w:tr>
      <w:tr>
        <w:tc>
          <w:tcPr>
            <w:tcW w:type="dxa" w:w="1234"/>
          </w:tcPr>
          <w:p>
            <w:r>
              <w:rPr>
                <w:sz w:val="18"/>
              </w:rPr>
              <w:t>19</w:t>
            </w:r>
          </w:p>
        </w:tc>
        <w:tc>
          <w:tcPr>
            <w:tcW w:type="dxa" w:w="1234"/>
          </w:tcPr>
          <w:p>
            <w:r>
              <w:rPr>
                <w:sz w:val="18"/>
              </w:rPr>
              <w:t>Mendelson, 2014 (Sleep)</w:t>
            </w:r>
          </w:p>
        </w:tc>
        <w:tc>
          <w:tcPr>
            <w:tcW w:type="dxa" w:w="1234"/>
          </w:tcPr>
          <w:p>
            <w:r>
              <w:rPr>
                <w:sz w:val="18"/>
              </w:rPr>
              <w:t>Essai randomisé contrôlé</w:t>
            </w:r>
          </w:p>
        </w:tc>
        <w:tc>
          <w:tcPr>
            <w:tcW w:type="dxa" w:w="1234"/>
          </w:tcPr>
          <w:p>
            <w:r>
              <w:rPr>
                <w:sz w:val="18"/>
              </w:rPr>
              <w:t>I</w:t>
            </w:r>
          </w:p>
        </w:tc>
        <w:tc>
          <w:tcPr>
            <w:tcW w:type="dxa" w:w="1234"/>
          </w:tcPr>
          <w:p>
            <w:r>
              <w:rPr>
                <w:sz w:val="18"/>
              </w:rPr>
              <w:t>Télésuivi PPC (observance, éducation)</w:t>
            </w:r>
          </w:p>
        </w:tc>
        <w:tc>
          <w:tcPr>
            <w:tcW w:type="dxa" w:w="1234"/>
          </w:tcPr>
          <w:p>
            <w:r>
              <w:rPr>
                <w:sz w:val="18"/>
              </w:rPr>
              <w:t>Effet sur la PA / le risque CV, observance</w:t>
            </w:r>
          </w:p>
        </w:tc>
        <w:tc>
          <w:tcPr>
            <w:tcW w:type="dxa" w:w="1234"/>
          </w:tcPr>
          <w:p>
            <w:r>
              <w:rPr>
                <w:sz w:val="18"/>
              </w:rPr>
              <w:t>Limites de l’effet clinique</w:t>
            </w:r>
          </w:p>
        </w:tc>
      </w:tr>
      <w:tr>
        <w:tc>
          <w:tcPr>
            <w:tcW w:type="dxa" w:w="1234"/>
          </w:tcPr>
          <w:p>
            <w:r>
              <w:rPr>
                <w:sz w:val="18"/>
              </w:rPr>
              <w:t>20</w:t>
            </w:r>
          </w:p>
        </w:tc>
        <w:tc>
          <w:tcPr>
            <w:tcW w:type="dxa" w:w="1234"/>
          </w:tcPr>
          <w:p>
            <w:r>
              <w:rPr>
                <w:sz w:val="18"/>
              </w:rPr>
              <w:t>Zysman, 2025 (Clin Oncol)</w:t>
            </w:r>
          </w:p>
        </w:tc>
        <w:tc>
          <w:tcPr>
            <w:tcW w:type="dxa" w:w="1234"/>
          </w:tcPr>
          <w:p>
            <w:r>
              <w:rPr>
                <w:sz w:val="18"/>
              </w:rPr>
              <w:t>Descriptive multicentrique</w:t>
            </w:r>
          </w:p>
        </w:tc>
        <w:tc>
          <w:tcPr>
            <w:tcW w:type="dxa" w:w="1234"/>
          </w:tcPr>
          <w:p>
            <w:r>
              <w:rPr>
                <w:sz w:val="18"/>
              </w:rPr>
              <w:t>IV</w:t>
            </w:r>
          </w:p>
        </w:tc>
        <w:tc>
          <w:tcPr>
            <w:tcW w:type="dxa" w:w="1234"/>
          </w:tcPr>
          <w:p>
            <w:r>
              <w:rPr>
                <w:sz w:val="18"/>
              </w:rPr>
              <w:t>Satelia® Onco : web-app de suivi</w:t>
            </w:r>
          </w:p>
        </w:tc>
        <w:tc>
          <w:tcPr>
            <w:tcW w:type="dxa" w:w="1234"/>
          </w:tcPr>
          <w:p>
            <w:r>
              <w:rPr>
                <w:sz w:val="18"/>
              </w:rPr>
              <w:t>Satisfaction, facilité d’usage, QdV perçue</w:t>
            </w:r>
          </w:p>
        </w:tc>
        <w:tc>
          <w:tcPr>
            <w:tcW w:type="dxa" w:w="1234"/>
          </w:tcPr>
          <w:p>
            <w:r>
              <w:rPr>
                <w:sz w:val="18"/>
              </w:rPr>
              <w:t>Expérience patient</w:t>
            </w:r>
          </w:p>
        </w:tc>
      </w:tr>
      <w:tr>
        <w:tc>
          <w:tcPr>
            <w:tcW w:type="dxa" w:w="1234"/>
          </w:tcPr>
          <w:p>
            <w:r>
              <w:rPr>
                <w:sz w:val="18"/>
              </w:rPr>
              <w:t>21</w:t>
            </w:r>
          </w:p>
        </w:tc>
        <w:tc>
          <w:tcPr>
            <w:tcW w:type="dxa" w:w="1234"/>
          </w:tcPr>
          <w:p>
            <w:r>
              <w:rPr>
                <w:sz w:val="18"/>
              </w:rPr>
              <w:t>Ohannessian, 2024 (Telemed J E Health)</w:t>
            </w:r>
          </w:p>
        </w:tc>
        <w:tc>
          <w:tcPr>
            <w:tcW w:type="dxa" w:w="1234"/>
          </w:tcPr>
          <w:p>
            <w:r>
              <w:rPr>
                <w:sz w:val="18"/>
              </w:rPr>
              <w:t>Observationnelle multicentrique nationale</w:t>
            </w:r>
          </w:p>
        </w:tc>
        <w:tc>
          <w:tcPr>
            <w:tcW w:type="dxa" w:w="1234"/>
          </w:tcPr>
          <w:p>
            <w:r>
              <w:rPr>
                <w:sz w:val="18"/>
              </w:rPr>
              <w:t>IV</w:t>
            </w:r>
          </w:p>
        </w:tc>
        <w:tc>
          <w:tcPr>
            <w:tcW w:type="dxa" w:w="1234"/>
          </w:tcPr>
          <w:p>
            <w:r>
              <w:rPr>
                <w:sz w:val="18"/>
              </w:rPr>
              <w:t>Téléconsultations soins primaires (7 plateformes)</w:t>
            </w:r>
          </w:p>
        </w:tc>
        <w:tc>
          <w:tcPr>
            <w:tcW w:type="dxa" w:w="1234"/>
          </w:tcPr>
          <w:p>
            <w:r>
              <w:rPr>
                <w:sz w:val="18"/>
              </w:rPr>
              <w:t>Incidence en zones sous-dotées, délai d’accès</w:t>
            </w:r>
          </w:p>
        </w:tc>
        <w:tc>
          <w:tcPr>
            <w:tcW w:type="dxa" w:w="1234"/>
          </w:tcPr>
          <w:p>
            <w:r>
              <w:rPr>
                <w:sz w:val="18"/>
              </w:rPr>
              <w:t>Accès (déserts médicaux)</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