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Partie 3 — Revue de littérature PubMed (§ 3 à 3.5)</w:t>
        <w:br/>
        <w:t>Version corrigée — PROPOSITION à valider</w:t>
      </w:r>
    </w:p>
    <w:p>
      <w:pPr>
        <w:jc w:val="center"/>
      </w:pPr>
      <w:r>
        <w:rPr>
          <w:i/>
          <w:sz w:val="20"/>
        </w:rPr>
        <w:t>Thèse d’exercice de pharmacie — Ethel Garbe-Roth</w:t>
        <w:br/>
        <w:t>Relecture assistée du 2 juillet 2026 — rien n’est modifié sans votre accord</w:t>
      </w:r>
    </w:p>
    <w:p>
      <w:pPr>
        <w:jc w:val="both"/>
      </w:pPr>
      <w:r>
        <w:t xml:space="preserve">Conventions : le texte noir est la version corrigée proposée (votre texte, corrigé). Les mentions en </w:t>
      </w:r>
      <w:r>
        <w:rPr>
          <w:i/>
          <w:color w:val="C00000"/>
        </w:rPr>
        <w:t>[rouge italique]</w:t>
      </w:r>
      <w:r>
        <w:t xml:space="preserve"> sont mes notes de décision : elles signalent un choix qui vous revient ou une donnée à compléter, et devront être supprimées de la version finale. Les caractères falsifiés (« о » cyrillique U+043E, point « ․ » U+2024, espaces invisibles U+200B) ont tous été remplacés par leurs équivalents normaux dans cette proposition.</w:t>
      </w:r>
    </w:p>
    <w:p>
      <w:r>
        <w:br w:type="page"/>
      </w:r>
    </w:p>
    <w:p>
      <w:pPr>
        <w:pStyle w:val="Heading1"/>
      </w:pPr>
      <w:r>
        <w:t>3. Présentation des résultats</w:t>
      </w:r>
    </w:p>
    <w:p>
      <w:pPr>
        <w:jc w:val="both"/>
      </w:pPr>
      <w:r>
        <w:t>Ce chapitre présente les résultats obtenus selon la méthodologie exposée précédemment. L’objectif de notre étude est de mieux comprendre comment les plateformes numériques sont utilisées dans le parcours de soins, en confrontant les données recueillies grâce à l’enquête à celles issues de la littérature.</w:t>
      </w:r>
    </w:p>
    <w:p>
      <w:pPr>
        <w:jc w:val="both"/>
      </w:pPr>
      <w:r>
        <w:t>Les résultats sont organisés autour des trois axes d’évaluation définis dans le cadre théorique : l’accessibilité aux soins, la coordination interprofessionnelle et l’expérience patient. Pour chaque axe, les résultats du questionnaire sont comparés aux éléments identifiés dans la littérature, illustrés par des données chiffrées et des exemples concrets, afin de mettre en évidence les points communs, les écarts ainsi que les limites observées.</w:t>
      </w:r>
    </w:p>
    <w:p>
      <w:pPr>
        <w:pStyle w:val="Heading2"/>
      </w:pPr>
      <w:r>
        <w:t>3.1 Analyse descriptive du corpus académique (N = 21)</w:t>
      </w:r>
    </w:p>
    <w:p>
      <w:pPr>
        <w:jc w:val="both"/>
      </w:pPr>
      <w:r>
        <w:t xml:space="preserve">La recherche documentaire, conduite le </w:t>
      </w:r>
      <w:r>
        <w:rPr>
          <w:i/>
          <w:color w:val="C00000"/>
        </w:rPr>
        <w:t>[à compléter : date exacte de l’interrogation de PubMed]</w:t>
      </w:r>
      <w:r>
        <w:t xml:space="preserve"> selon la stratégie décrite au chapitre 2, a identifié 98 références. Après retrait de 8 références avant sélection (3 doublons et 5 exclusions pour autres motifs), 90 références ont été examinées sur titre et résumé ; 59 ont été écartées à ce stade. Sur les 31 rapports recherchés, 4 ont été exclus par les filtres appliqués </w:t>
      </w:r>
      <w:r>
        <w:rPr>
          <w:i/>
          <w:color w:val="C00000"/>
        </w:rPr>
        <w:t>[⚠ le motif affiché dans la Figure 11 (« Protocols, Reviews, Consensus statements ») contredit vos critères d’inclusion, qui admettent les protocoles (Homs, 2025, conservée au corpus) — reformuler le motif dans la figure, p. ex. « Revues, consensus, hors période/thème »]</w:t>
      </w:r>
      <w:r>
        <w:t xml:space="preserve"> ; 27 articles ont été évalués en texte intégral et 5 exclus après lecture complète (données incomplètes, contexte géographique non français, hors sujet), aboutissant à un corpus final de 21 études (Figure 11). </w:t>
      </w:r>
      <w:r>
        <w:rPr>
          <w:i/>
          <w:color w:val="C00000"/>
        </w:rPr>
        <w:t>[⚠ incohérence arithmétique dans la Figure 11 : 27 évalués − 5 exclus = 22, et non 21. Il manque soit une 6e exclusion finale, soit un chiffre est erroné en amont — à corriger dans la figure ET dans cette phrase. Par ailleurs la case « Reports of included studies (n = 0) » du gabarit PRISMA devrait indiquer 21 ou être retirée.]</w:t>
      </w:r>
    </w:p>
    <w:p>
      <w:pPr>
        <w:jc w:val="both"/>
      </w:pPr>
      <w:r>
        <w:t xml:space="preserve">L’analyse des 21 articles retenus permet de dresser un état des lieux de la recherche sur la e-santé en France, en particulier quant aux types d’études menées et aux outils numériques évalués. Cette section décrit les caractéristiques du corpus — types de technologies et contextes cliniques (3.1.1), puis niveaux de preuve et designs d’étude (3.2) — avant la présentation thématique des résultats selon les trois axes de la problématique (3.3 à 3.5). Elle apporte ainsi un premier éclairage sur les apports de ces outils, mais aussi sur leurs limites et sur les conditions de leur utilité dans le parcours de soins. </w:t>
      </w:r>
      <w:r>
        <w:rPr>
          <w:i/>
          <w:color w:val="C00000"/>
        </w:rPr>
        <w:t>[l’ancienne annonce des trois axes, redondante avec le chapeau du chapitre, a été remplacée par l’annonce du contenu réellement descriptif de la section — à valider]</w:t>
      </w:r>
    </w:p>
    <w:p>
      <w:pPr>
        <w:pStyle w:val="Heading3"/>
      </w:pPr>
      <w:r>
        <w:t>3.1.1 Répartition par type de technologie et contexte clinique</w:t>
      </w:r>
    </w:p>
    <w:p>
      <w:pPr>
        <w:jc w:val="both"/>
      </w:pPr>
      <w:r>
        <w:t xml:space="preserve">Les études retenues sont variées, tant dans les méthodes utilisées que dans les outils numériques étudiés. Elles portent sur différents dispositifs mobilisés dans le parcours de soins : téléconsultation, télésurveillance, plateformes de prise de rendez-vous ou encore outils de coordination. </w:t>
      </w:r>
      <w:r>
        <w:rPr>
          <w:i/>
          <w:color w:val="C00000"/>
        </w:rPr>
        <w:t>[« L’analyse effectuée sur les articles montre qu’elles sont assez variées » : le pronom « elles » n’avait pas de référent — reformulé]</w:t>
      </w:r>
    </w:p>
    <w:p>
      <w:pPr>
        <w:jc w:val="both"/>
      </w:pPr>
      <w:r>
        <w:rPr>
          <w:b/>
        </w:rPr>
        <w:t>Téléconsultation</w:t>
      </w:r>
    </w:p>
    <w:p>
      <w:r>
        <w:t>La téléconsultation constitue le domaine le plus documenté. Elle intervient dans :</w:t>
      </w:r>
    </w:p>
    <w:p>
      <w:pPr>
        <w:pStyle w:val="ListBullet"/>
      </w:pPr>
      <w:r>
        <w:t>les soins primaires (Saint-Lary, 2020 ; Ohannessian, 2024) ;</w:t>
      </w:r>
    </w:p>
    <w:p>
      <w:pPr>
        <w:pStyle w:val="ListBullet"/>
      </w:pPr>
      <w:r>
        <w:t>l’oncologie (Bizot, 2021 ; Zysman, 2025) ;</w:t>
      </w:r>
    </w:p>
    <w:p>
      <w:pPr>
        <w:pStyle w:val="ListBullet"/>
      </w:pPr>
      <w:r>
        <w:t>l’ophtalmologie (Bourdon, 2020 ; Bourré, 2024) ;</w:t>
      </w:r>
    </w:p>
    <w:p>
      <w:pPr>
        <w:pStyle w:val="ListBullet"/>
      </w:pPr>
      <w:r>
        <w:t>l’anesthésie préopératoire (Guerrier, 2025) ;</w:t>
      </w:r>
    </w:p>
    <w:p>
      <w:pPr>
        <w:pStyle w:val="ListBullet"/>
      </w:pPr>
      <w:r>
        <w:t>la médecine interne (Firn, 2021).</w:t>
      </w:r>
    </w:p>
    <w:p>
      <w:pPr>
        <w:jc w:val="both"/>
      </w:pPr>
      <w:r>
        <w:rPr>
          <w:i/>
          <w:color w:val="C00000"/>
        </w:rPr>
        <w:t>[« la coordination régionale (Télé-SEP, Derache, 2020) » figurait aussi dans cette liste ; l’étude étant déjà classée en télé-expertise ci-dessous, je propose de ne la citer qu’une fois — à valider]</w:t>
      </w:r>
    </w:p>
    <w:p>
      <w:pPr>
        <w:jc w:val="both"/>
      </w:pPr>
      <w:r>
        <w:t>Elle est utilisée soit pour le tri (urgences ophtalmologiques), soit pour le suivi (oncologie), soit comme alternative à la consultation physique (médecine générale). Le contexte principal est l’amélioration de l’accès aux soins de premier recours et la gestion des flux en milieu hospitalier ou ambulatoire.</w:t>
      </w:r>
    </w:p>
    <w:p>
      <w:pPr>
        <w:jc w:val="both"/>
      </w:pPr>
      <w:r>
        <w:rPr>
          <w:b/>
        </w:rPr>
        <w:t>Télésurveillance / suivi à domicile</w:t>
      </w:r>
    </w:p>
    <w:p>
      <w:r>
        <w:t>Ces dispositifs concernent surtout des patients chroniques ou fragiles :</w:t>
      </w:r>
    </w:p>
    <w:p>
      <w:pPr>
        <w:pStyle w:val="ListBullet"/>
      </w:pPr>
      <w:r>
        <w:t xml:space="preserve">suivi à distance des défibrillateurs implantables dans l’insuffisance cardiaque (Guédon-Moreau, 2014 — ECOST) </w:t>
      </w:r>
      <w:r>
        <w:rPr>
          <w:i/>
          <w:color w:val="C00000"/>
        </w:rPr>
        <w:t>[déplacée depuis « télé-expertise » : ECOST est une étude de télésurveillance, conformément à votre Annexe 1 — à valider]</w:t>
      </w:r>
      <w:r>
        <w:t xml:space="preserve"> ;</w:t>
      </w:r>
    </w:p>
    <w:p>
      <w:pPr>
        <w:pStyle w:val="ListBullet"/>
      </w:pPr>
      <w:r>
        <w:t>polypathologies gériatriques (Testa, 2025 — EPOCA) ;</w:t>
      </w:r>
    </w:p>
    <w:p>
      <w:pPr>
        <w:pStyle w:val="ListBullet"/>
      </w:pPr>
      <w:r>
        <w:t>suivi des anticancéreux oraux (Minvielle, 2025 — CAPRI) ;</w:t>
      </w:r>
    </w:p>
    <w:p>
      <w:pPr>
        <w:pStyle w:val="ListBullet"/>
      </w:pPr>
      <w:r>
        <w:t>plaies complexes (Téot, 2020 — Domoplaies) ;</w:t>
      </w:r>
    </w:p>
    <w:p>
      <w:pPr>
        <w:pStyle w:val="ListBullet"/>
      </w:pPr>
      <w:r>
        <w:t xml:space="preserve">télésuivi de la pression positive continue dans le syndrome d’apnées du sommeil (Mendelson, 2014) </w:t>
      </w:r>
      <w:r>
        <w:rPr>
          <w:i/>
          <w:color w:val="C00000"/>
        </w:rPr>
        <w:t>[l’original indiquait « suivi post-chirurgical / sommeil » : d’après votre Annexe 1, l’étude porte sur le télésuivi de la PPC — corrigé, à valider]</w:t>
      </w:r>
      <w:r>
        <w:t>.</w:t>
      </w:r>
    </w:p>
    <w:p>
      <w:pPr>
        <w:jc w:val="both"/>
      </w:pPr>
      <w:r>
        <w:t xml:space="preserve">Ces technologies s’appuient souvent sur des applications mobiles, des objets connectés ou des plateformes dédiées au suivi de patients atteints de pathologies chroniques lourdes (oncologie, insuffisance cardiaque). L’objectif est ici la continuité des soins, la gestion des effets indésirables des traitements (toxicité en oncologie) et l’éducation thérapeutique. </w:t>
      </w:r>
      <w:r>
        <w:rPr>
          <w:i/>
          <w:color w:val="C00000"/>
        </w:rPr>
        <w:t>[« Rhumatismes inflammatoires » retiré de la parenthèse : aucune étude de télésurveillance du corpus ne porte sur cette indication (Magnol, 2021 est une étude d’usage, reclassée ci-dessous) — à valider]</w:t>
      </w:r>
    </w:p>
    <w:p>
      <w:pPr>
        <w:jc w:val="both"/>
      </w:pPr>
      <w:r>
        <w:rPr>
          <w:b/>
        </w:rPr>
        <w:t>Télé-expertise et plateformes de coordination</w:t>
      </w:r>
    </w:p>
    <w:p>
      <w:pPr>
        <w:pStyle w:val="ListBullet"/>
      </w:pPr>
      <w:r>
        <w:t>Télé-SEP — sclérose en plaques (Derache, 2020) ;</w:t>
      </w:r>
    </w:p>
    <w:p>
      <w:pPr>
        <w:pStyle w:val="ListBullet"/>
      </w:pPr>
      <w:r>
        <w:t>OMNIDOC — télé-expertise en ophtalmologie (Bourré, 2024) ;</w:t>
      </w:r>
    </w:p>
    <w:p>
      <w:pPr>
        <w:pStyle w:val="ListBullet"/>
      </w:pPr>
      <w:r>
        <w:t>télé-AVC (Wallut, 2020).</w:t>
      </w:r>
    </w:p>
    <w:p>
      <w:pPr>
        <w:jc w:val="both"/>
      </w:pPr>
      <w:r>
        <w:t xml:space="preserve">Une part significative du corpus (Derache, 2020 ; Wallut, 2020) évalue l’utilisation de la télémédecine pour des processus de coordination interprofessionnelle et la prise en charge de cas complexes ou urgents (AVC, sclérose en plaques). Ces solutions visent un échange entre professionnels afin d’améliorer la prise de décision, la coordination et de réduire les consultations inutiles. </w:t>
      </w:r>
      <w:r>
        <w:rPr>
          <w:i/>
          <w:color w:val="C00000"/>
        </w:rPr>
        <w:t>[deux corrections : « Derache N, #9 » était erroné — l’étude est la n° 7 de votre Annexe 1, renvoi remplacé par (Auteur, année) ; et le paragraphe disait deux fois la même idée (reliquat de copier-coller) — fusionné en une seule phrase]</w:t>
      </w:r>
    </w:p>
    <w:p>
      <w:pPr>
        <w:jc w:val="both"/>
      </w:pPr>
      <w:r>
        <w:rPr>
          <w:b/>
        </w:rPr>
        <w:t>Prise de rendez-vous en ligne</w:t>
      </w:r>
    </w:p>
    <w:p>
      <w:pPr>
        <w:jc w:val="both"/>
      </w:pPr>
      <w:r>
        <w:t>L’étude d’Ellouze (2018) explore les déterminants sociodémographiques du recours aux rendez-vous en ligne chez les généralistes.</w:t>
      </w:r>
    </w:p>
    <w:p>
      <w:pPr>
        <w:jc w:val="both"/>
      </w:pPr>
      <w:r>
        <w:rPr>
          <w:b/>
        </w:rPr>
        <w:t>Applications mobiles sécurisées pour parcours spécialisés</w:t>
      </w:r>
    </w:p>
    <w:p>
      <w:pPr>
        <w:jc w:val="both"/>
      </w:pPr>
      <w:r>
        <w:t>WiStim (Plouvier, 2025), dédiée à la procréation médicalement assistée (PMA), facilite le suivi thérapeutique et les échanges entre la patiente et la sage-femme.</w:t>
      </w:r>
    </w:p>
    <w:p>
      <w:pPr>
        <w:jc w:val="both"/>
      </w:pPr>
      <w:r>
        <w:rPr>
          <w:b/>
        </w:rPr>
        <w:t>Études d’usage, prérequis numériques et réorganisations de parcours</w:t>
      </w:r>
    </w:p>
    <w:p>
      <w:pPr>
        <w:jc w:val="both"/>
      </w:pPr>
      <w:r>
        <w:rPr>
          <w:i/>
          <w:color w:val="C00000"/>
        </w:rPr>
        <w:t>[proposition d’ajout : cette rubrique permet à la typologie de couvrir les 21 études — quatre études du corpus n’étaient rattachées à aucune catégorie — à valider]</w:t>
      </w:r>
    </w:p>
    <w:p>
      <w:pPr>
        <w:pStyle w:val="ListBullet"/>
      </w:pPr>
      <w:r>
        <w:t xml:space="preserve">possession et usage du smartphone chez les patients insuffisants cardiaques (Pezel, 2021 — OFICSel) </w:t>
      </w:r>
      <w:r>
        <w:rPr>
          <w:i/>
          <w:color w:val="C00000"/>
        </w:rPr>
        <w:t>[reclassée depuis « télésurveillance » : étude de registre sur les prérequis d’usage, non sur un dispositif de télésurveillance]</w:t>
      </w:r>
      <w:r>
        <w:t xml:space="preserve"> ;</w:t>
      </w:r>
    </w:p>
    <w:p>
      <w:pPr>
        <w:pStyle w:val="ListBullet"/>
      </w:pPr>
      <w:r>
        <w:t>accès et usages des outils d’e-santé dans la polyarthrite rhumatoïde (Magnol, 2021) ;</w:t>
      </w:r>
    </w:p>
    <w:p>
      <w:pPr>
        <w:pStyle w:val="ListBullet"/>
      </w:pPr>
      <w:r>
        <w:t>réorganisation des parcours en oncologie pendant la pandémie de COVID-19 (Helissey, 2020 — PRATICOVID) ;</w:t>
      </w:r>
    </w:p>
    <w:p>
      <w:pPr>
        <w:pStyle w:val="ListBullet"/>
      </w:pPr>
      <w:r>
        <w:t>protocole d’un programme d’éducation thérapeutique à distance en prévention cardiovasculaire (Homs, 2025).</w:t>
      </w:r>
    </w:p>
    <w:p>
      <w:pPr>
        <w:pStyle w:val="Heading2"/>
      </w:pPr>
      <w:r>
        <w:t>3.2 Niveaux de preuve et designs d’étude recensés</w:t>
      </w:r>
    </w:p>
    <w:p>
      <w:r>
        <w:t>La distribution des designs d’étude au sein de ce corpus restreint est un indicateur de la maturité de la recherche dans ce domaine. Elle se répartit comme suit :</w:t>
      </w:r>
    </w:p>
    <w:p>
      <w:pPr>
        <w:pStyle w:val="ListBullet"/>
      </w:pPr>
      <w:r>
        <w:t>quinze études observationnelles (71 % ; niveaux de preuve III-IV) : études quantitatives non interventionnelles (transversales, rétrospectives ou enquêtes ponctuelles) exploitant les données d’usage des plateformes ou mesurant des indicateurs déclaratifs tels que la satisfaction. Elles permettent d’établir des associations et des états des lieux, mais leur capacité à démontrer des liens de causalité rigoureux est limitée ;</w:t>
      </w:r>
    </w:p>
    <w:p>
      <w:pPr>
        <w:pStyle w:val="ListBullet"/>
      </w:pPr>
      <w:r>
        <w:t>trois essais contrôlés randomisés (Téot, 2020 ; Guédon-Moreau, 2014 ; Mendelson, 2014) ;</w:t>
      </w:r>
    </w:p>
    <w:p>
      <w:pPr>
        <w:pStyle w:val="ListBullet"/>
      </w:pPr>
      <w:r>
        <w:t>une analyse secondaire d’essai randomisé (Minvielle, 2025 — CAPRI) ;</w:t>
      </w:r>
    </w:p>
    <w:p>
      <w:pPr>
        <w:pStyle w:val="ListBullet"/>
      </w:pPr>
      <w:r>
        <w:t>un protocole d’essai randomisé (Homs, 2025) ;</w:t>
      </w:r>
    </w:p>
    <w:p>
      <w:pPr>
        <w:pStyle w:val="ListBullet"/>
      </w:pPr>
      <w:r>
        <w:t>une évaluation médico-économique sur modèle décisionnel (Wallut, 2020).</w:t>
      </w:r>
    </w:p>
    <w:p>
      <w:pPr>
        <w:jc w:val="both"/>
      </w:pPr>
      <w:r>
        <w:rPr>
          <w:i/>
          <w:color w:val="C00000"/>
        </w:rPr>
        <w:t>[cette distribution 15 + 3 + 1 + 1 + 1 = 21 est celle revérifiée ligne à ligne sur votre Annexe 1 lors de la session précédente ; elle remplace l’ancien décompte, qui classait à tort Minvielle, Wallut et Mendelson ensemble en « niveau II » — à valider]</w:t>
      </w:r>
    </w:p>
    <w:p>
      <w:pPr>
        <w:jc w:val="both"/>
      </w:pPr>
      <w:r>
        <w:t>La prédominance des études observationnelles confirme que la recherche en e-santé se concentre encore sur l’évaluation de l’impact organisationnel et déclaratif (satisfaction), plutôt que sur la démonstration de la supériorité clinique et économique par rapport aux soins conventionnels.</w:t>
      </w:r>
    </w:p>
    <w:p>
      <w:pPr>
        <w:jc w:val="both"/>
      </w:pPr>
      <w:r>
        <w:t>La rareté des essais contrôlés randomisés (niveaux de preuve I-II) demeure une lacune significative, soulignant le manque de preuves robustes et prospectives sur les bénéfices cliniques à long terme des plateformes : les trois essais recensés portent sur des indications ciblées (plaies complexes, défibrillateurs implantables, observance de la pression positive continue) et ne permettent ni de démontrer des bénéfices à long terme, ni de fonder des recommandations cliniques fortes.</w:t>
      </w:r>
    </w:p>
    <w:p>
      <w:pPr>
        <w:jc w:val="both"/>
      </w:pPr>
      <w:r>
        <w:t xml:space="preserve">Enfin, aucune étude du corpus n’est purement qualitative ; plusieurs intègrent toutefois une composante déclarative ou mixte (satisfaction, acceptabilité, entretiens), indispensable pour évaluer l’acceptabilité des outils et l’expérience utilisateur, dimensions que les seules données d’activité ne peuvent capturer. </w:t>
      </w:r>
      <w:r>
        <w:rPr>
          <w:i/>
          <w:color w:val="C00000"/>
        </w:rPr>
        <w:t>[remplace l’affirmation « environ 29 % (6 articles) intègrent des méthodes qualitatives », non soutenue par l’Annexe 1 — reformulation déjà actée en session précédente, à reporter ici]</w:t>
      </w:r>
    </w:p>
    <w:p>
      <w:pPr>
        <w:pStyle w:val="Heading2"/>
      </w:pPr>
      <w:r>
        <w:t>3.3 Impact sur l’accès, l’acceptabilité et les données d’activité</w:t>
      </w:r>
    </w:p>
    <w:p>
      <w:pPr>
        <w:jc w:val="both"/>
      </w:pPr>
      <w:r>
        <w:t>L’analyse du corpus confirme que les plateformes numériques constituent un levier significatif pour améliorer l’accès immédiat aux soins, dont l’impact se mesure à travers l’agrégation des données d’activité et de perception.</w:t>
      </w:r>
    </w:p>
    <w:p>
      <w:pPr>
        <w:jc w:val="both"/>
      </w:pPr>
      <w:r>
        <w:t xml:space="preserve">Amélioration de la disponibilité et des délais : les plateformes démontrent leur efficacité pour faciliter l’accès, notamment dans les zones sous-denses. Les données d’activité attestent d’une réduction mesurable des délais d’obtention de rendez-vous, notamment pour les spécialités sous tension (ophtalmologie) ou en situation d’urgence (AVC) </w:t>
      </w:r>
      <w:r>
        <w:rPr>
          <w:i/>
          <w:color w:val="C00000"/>
        </w:rPr>
        <w:t>[« Strokes » remplacé par « AVC », conformément à la correction déjà actée]</w:t>
      </w:r>
      <w:r>
        <w:t>, traduisant une amélioration de la réactivité du système. Par ailleurs, les téléconsultations ont joué un rôle protecteur en assurant la continuité des soins dans un contexte contraint tel que la pandémie de COVID-19.</w:t>
      </w:r>
    </w:p>
    <w:p>
      <w:pPr>
        <w:jc w:val="both"/>
      </w:pPr>
      <w:r>
        <w:t xml:space="preserve">Acceptabilité et données de satisfaction : l’acceptation des plateformes par les patients est élevée (70 à 85 % de satisfaction), principalement grâce à la commodité et à la transparence du processus (Bizot, 2021 ; Zysman, 2025). </w:t>
      </w:r>
      <w:r>
        <w:rPr>
          <w:i/>
          <w:color w:val="C00000"/>
        </w:rPr>
        <w:t>[renvois « #4, #20 » résolus d’après l’Annexe 1 — à valider]</w:t>
      </w:r>
    </w:p>
    <w:p>
      <w:pPr>
        <w:jc w:val="both"/>
      </w:pPr>
      <w:r>
        <w:t xml:space="preserve">Persistance des inégalités et fracture numérique : malgré ces avantages, l’accès aux outils numériques demeure inégal. Plusieurs articles (Plouvier, 2025 ; Magnol, 2021) </w:t>
      </w:r>
      <w:r>
        <w:rPr>
          <w:i/>
          <w:color w:val="C00000"/>
        </w:rPr>
        <w:t>[renvois « #18, #5 » résolus d’après l’Annexe 1 — à valider]</w:t>
      </w:r>
      <w:r>
        <w:t xml:space="preserve"> soulignent un biais dans le recrutement, les utilisateurs étant souvent plus jeunes et disposant d’une meilleure littératie numérique. Ce constat souligne la nécessité de maintenir des modalités traditionnelles de contact afin d’éviter une double exclusion, médicale et numérique, tout en soulevant des questions cruciales sur l’équité.</w:t>
      </w:r>
    </w:p>
    <w:p>
      <w:pPr>
        <w:jc w:val="both"/>
      </w:pPr>
      <w:r>
        <w:t xml:space="preserve">Limites des données d’activité : l’évaluation de l’impact reste cantonnée à des indicateurs de performance (nombre de téléconsultations, taux d’absence aux rendez-vous). La littérature peine à démontrer une corrélation directe et probante entre cette activité et un bénéfice clinique tangible ou une amélioration significative de la qualité de vie des patients. </w:t>
      </w:r>
      <w:r>
        <w:rPr>
          <w:i/>
          <w:color w:val="C00000"/>
        </w:rPr>
        <w:t>[l’intitulé était dupliqué (« Limites des Données d’Activité : Limites des données d’activité : ») — doublon supprimé ; « (outcomes) » retiré (anglicisme redondant avec « bénéfice clinique »)]</w:t>
      </w:r>
    </w:p>
    <w:p>
      <w:pPr>
        <w:pStyle w:val="Heading2"/>
      </w:pPr>
      <w:r>
        <w:t>3.4 Rôle dans la coordination du parcours et le modèle organisationnel</w:t>
      </w:r>
    </w:p>
    <w:p>
      <w:pPr>
        <w:jc w:val="both"/>
      </w:pPr>
      <w:r>
        <w:t>Le numérique optimise la coordination lorsqu’il s’intègre dans un modèle organisationnel structuré plutôt que comme un outil isolé.</w:t>
      </w:r>
    </w:p>
    <w:p>
      <w:pPr>
        <w:jc w:val="both"/>
      </w:pPr>
      <w:r>
        <w:t xml:space="preserve">Un renforcement du lien interprofessionnel : les plateformes dédiées à la télé-expertise et à la télésurveillance (portails, messageries sécurisées de santé) </w:t>
      </w:r>
      <w:r>
        <w:rPr>
          <w:i/>
          <w:color w:val="C00000"/>
        </w:rPr>
        <w:t>[« MSS » explicité]</w:t>
      </w:r>
      <w:r>
        <w:t xml:space="preserve"> facilitent les échanges entre professionnels (Télé-SEP), favorisant une meilleure transmission d’informations entre les différents acteurs du parcours. Elles soutiennent ainsi le modèle coordonné du parcours de soins promu par l’Assurance Maladie.</w:t>
      </w:r>
    </w:p>
    <w:p>
      <w:pPr>
        <w:jc w:val="both"/>
      </w:pPr>
      <w:r>
        <w:t xml:space="preserve">L’efficacité du modèle hybride : les études les plus solides montrent que l’efficacité clinique se manifeste lorsque la technologie est associée à un accompagnement humain dédié (infirmières pivot dans CAPRI et EPOCA) </w:t>
      </w:r>
      <w:r>
        <w:rPr>
          <w:i/>
          <w:color w:val="C00000"/>
        </w:rPr>
        <w:t>[« nurse navigators » remplacé par « infirmières pivot », le terme que vous employez déjà dans l’Annexe 1 — à valider]</w:t>
      </w:r>
      <w:r>
        <w:t>. Cette synergie entre outils numériques, professionnels spécialisés et protocoles de suivi définis permet notamment une gestion améliorée des alertes ainsi qu’une prévention accrue des hospitalisations.</w:t>
      </w:r>
    </w:p>
    <w:p>
      <w:pPr>
        <w:jc w:val="both"/>
      </w:pPr>
      <w:r>
        <w:t>Une validation clinique et de sécurité : le corpus établit que la téléconsultation n’est pas inférieure à la consultation physique pour diverses indications (suivi chronique, certaines urgences), sous réserve que le patient soit connu du professionnel. Le respect strict du cadre réglementaire français (RGPD, certification HDS) est perçu comme indispensable pour instaurer confiance et adhésion chez les professionnels.</w:t>
      </w:r>
    </w:p>
    <w:p>
      <w:pPr>
        <w:pStyle w:val="Heading2"/>
      </w:pPr>
      <w:r>
        <w:t>3.5 Analyse de l’expérience patient et des lacunes médico-économiques</w:t>
      </w:r>
    </w:p>
    <w:p>
      <w:pPr>
        <w:jc w:val="both"/>
      </w:pPr>
      <w:r>
        <w:t>L’évaluation de la valeur économique et de la qualité de vie constitue la principale lacune du corpus.</w:t>
      </w:r>
    </w:p>
    <w:p>
      <w:pPr>
        <w:jc w:val="both"/>
      </w:pPr>
      <w:r>
        <w:t xml:space="preserve">Satisfaction élevée mais besoins non couverts : de nombreuses études indiquent des taux de satisfaction élevés (70 à 85 %). Les avantages soulignés sont la simplicité d’utilisation, la diminution du stress et des déplacements. Cependant, cette satisfaction reste parfois limitée par la perte de contact direct avec les professionnels, rappelant que les plateformes doivent compléter la relation thérapeutique, sans jamais s’y substituer. </w:t>
      </w:r>
      <w:r>
        <w:rPr>
          <w:i/>
          <w:color w:val="C00000"/>
        </w:rPr>
        <w:t>[répétition du « 70 à 85 % » déjà cité en 3.3 : je vous suggère de ne le chiffrer qu’une fois, p. ex. en renvoyant « (cf. 3.3) » ici — à décider]</w:t>
      </w:r>
    </w:p>
    <w:p>
      <w:r>
        <w:t>À l’exception du télé-AVC (Wallut, 2020) et d’ECOST (Guédon-Moreau, 2014), peu d’études proposent une analyse médico-économique complète. Quelques tendances se dessinent néanmoins :</w:t>
      </w:r>
    </w:p>
    <w:p>
      <w:pPr>
        <w:pStyle w:val="ListBullet"/>
      </w:pPr>
      <w:r>
        <w:t>diminution des transports (Domoplaies ; consultation d’anesthésie par téléphone) ;</w:t>
      </w:r>
    </w:p>
    <w:p>
      <w:pPr>
        <w:pStyle w:val="ListBullet"/>
      </w:pPr>
      <w:r>
        <w:t>réduction des hospitalisations (EPOCA) ;</w:t>
      </w:r>
    </w:p>
    <w:p>
      <w:pPr>
        <w:pStyle w:val="ListBullet"/>
      </w:pPr>
      <w:r>
        <w:t>gains d’efficience administrative (WiStim).</w:t>
      </w:r>
    </w:p>
    <w:p>
      <w:pPr>
        <w:jc w:val="both"/>
      </w:pPr>
      <w:r>
        <w:t xml:space="preserve">Absence de ratio coût-efficacité solide et dépendance économique : l’évaluation de la création de valeur repose principalement sur les coûts indirects évités (temps de transport, absentéisme) ainsi que sur les gains d’efficience organisationnelle. Le manque d’études prospectives se traduit par une absence notable de calculs de ratios coût-efficacité incrémentaux (ICER), ce qui freine l’évaluation par la Haute Autorité de santé et les décisions d’intégration tarifaire et de remboursement par l’Assurance Maladie. </w:t>
      </w:r>
      <w:r>
        <w:rPr>
          <w:i/>
          <w:color w:val="C00000"/>
        </w:rPr>
        <w:t>[correction factuelle : l’original écrivait « remboursement par la HAS » — la HAS évalue et rend des avis, mais ne décide ni des tarifs ni du remboursement, qui relèvent du CEPS et de l’Assurance Maladie — à valider]</w:t>
      </w:r>
    </w:p>
    <w:p>
      <w:pPr>
        <w:jc w:val="both"/>
      </w:pPr>
      <w:r>
        <w:t>Dépendance réglementaire : l’analyse souligne une forte dépendance de la diffusion et de la valorisation des plateformes vis-à-vis des décisions de remboursement prises par les organismes payeurs (Assurance Maladie). La valeur économique d’une plateforme est intrinsèquement liée à sa capacité à être valorisée dans le cadre conventionnel existant.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