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E02D" w14:textId="07BBCB2A" w:rsidR="004606E3" w:rsidRDefault="00391610" w:rsidP="004606E3">
      <w:pPr>
        <w:pStyle w:val="PaperNumber"/>
      </w:pPr>
      <w:r>
        <w:t>20</w:t>
      </w:r>
      <w:r w:rsidR="00D3332D">
        <w:t>XX</w:t>
      </w:r>
      <w:r>
        <w:t>-01-XXXX</w:t>
      </w:r>
    </w:p>
    <w:p w14:paraId="37B82A93" w14:textId="5426C4D0" w:rsidR="004606E3" w:rsidRPr="004606E3" w:rsidRDefault="004606E3" w:rsidP="004606E3">
      <w:pPr>
        <w:pStyle w:val="Author"/>
        <w:rPr>
          <w:sz w:val="18"/>
          <w:szCs w:val="18"/>
        </w:rPr>
      </w:pPr>
      <w:r w:rsidRPr="004606E3">
        <w:rPr>
          <w:sz w:val="18"/>
          <w:szCs w:val="18"/>
        </w:rPr>
        <w:t>© 20</w:t>
      </w:r>
      <w:r w:rsidR="005C5146">
        <w:rPr>
          <w:rFonts w:hint="eastAsia"/>
          <w:sz w:val="18"/>
          <w:szCs w:val="18"/>
          <w:lang w:eastAsia="zh-CN"/>
        </w:rPr>
        <w:t>26</w:t>
      </w:r>
      <w:r w:rsidRPr="004606E3">
        <w:rPr>
          <w:sz w:val="18"/>
          <w:szCs w:val="18"/>
        </w:rPr>
        <w:t xml:space="preserve"> SAE International</w:t>
      </w:r>
    </w:p>
    <w:p w14:paraId="227FF30C" w14:textId="77777777" w:rsidR="004606E3" w:rsidRPr="004606E3" w:rsidRDefault="004606E3" w:rsidP="004606E3">
      <w:pPr>
        <w:pStyle w:val="Author"/>
      </w:pPr>
    </w:p>
    <w:p w14:paraId="597D6E22" w14:textId="6B62A737" w:rsidR="00B01FCD" w:rsidRDefault="005C5146" w:rsidP="00A418D3">
      <w:pPr>
        <w:pStyle w:val="a7"/>
      </w:pPr>
      <w:r w:rsidRPr="005C5146">
        <w:t>AI-Driven Adaptive Resource Regulation for Micro Closed-Loop Space Station Ecosystems under Reliability and Environmental Constraints</w:t>
      </w:r>
    </w:p>
    <w:p w14:paraId="3BF70258" w14:textId="6D6ACFB9" w:rsidR="009D5F0A" w:rsidRDefault="005C5146" w:rsidP="009D5F0A">
      <w:pPr>
        <w:pStyle w:val="Author"/>
      </w:pPr>
      <w:r>
        <w:rPr>
          <w:rFonts w:hint="eastAsia"/>
          <w:lang w:eastAsia="zh-CN"/>
        </w:rPr>
        <w:t>Heyang Zhang</w:t>
      </w:r>
      <w:r w:rsidR="009D5F0A">
        <w:t xml:space="preserve">, </w:t>
      </w:r>
      <w:r>
        <w:rPr>
          <w:rFonts w:hint="eastAsia"/>
          <w:lang w:eastAsia="zh-CN"/>
        </w:rPr>
        <w:t xml:space="preserve">Meixin Wu, </w:t>
      </w:r>
      <w:proofErr w:type="spellStart"/>
      <w:r>
        <w:rPr>
          <w:rFonts w:hint="eastAsia"/>
          <w:lang w:eastAsia="zh-CN"/>
        </w:rPr>
        <w:t>Junze</w:t>
      </w:r>
      <w:proofErr w:type="spellEnd"/>
      <w:r>
        <w:rPr>
          <w:rFonts w:hint="eastAsia"/>
          <w:lang w:eastAsia="zh-CN"/>
        </w:rPr>
        <w:t xml:space="preserve"> Xie</w:t>
      </w:r>
      <w:r w:rsidR="009D5F0A">
        <w:t xml:space="preserve"> </w:t>
      </w:r>
    </w:p>
    <w:p w14:paraId="0E21BB58" w14:textId="6FE85DE1" w:rsidR="009D5F0A" w:rsidRDefault="005C5146" w:rsidP="009D5F0A">
      <w:pPr>
        <w:pStyle w:val="Affiliation"/>
      </w:pPr>
      <w:r>
        <w:rPr>
          <w:rFonts w:hint="eastAsia"/>
          <w:lang w:eastAsia="zh-CN"/>
        </w:rPr>
        <w:t>Sichuan University</w:t>
      </w:r>
      <w:r w:rsidR="009D5F0A">
        <w:t xml:space="preserve"> </w:t>
      </w:r>
    </w:p>
    <w:p w14:paraId="3F1CDC7C" w14:textId="77777777" w:rsidR="006009F0" w:rsidRDefault="006009F0" w:rsidP="009908CF">
      <w:pPr>
        <w:pStyle w:val="Copyright"/>
      </w:pPr>
    </w:p>
    <w:p w14:paraId="51435FC1" w14:textId="77777777" w:rsidR="004D1F7B" w:rsidRPr="009908CF" w:rsidRDefault="004D1F7B" w:rsidP="009908CF">
      <w:pPr>
        <w:pStyle w:val="Copyright"/>
        <w:sectPr w:rsidR="004D1F7B" w:rsidRPr="009908CF" w:rsidSect="0006755B">
          <w:footerReference w:type="even" r:id="rId8"/>
          <w:footerReference w:type="default" r:id="rId9"/>
          <w:type w:val="continuous"/>
          <w:pgSz w:w="12240" w:h="15840"/>
          <w:pgMar w:top="720" w:right="720" w:bottom="720" w:left="720" w:header="720" w:footer="720" w:gutter="0"/>
          <w:cols w:space="720"/>
          <w:docGrid w:linePitch="360"/>
        </w:sectPr>
      </w:pPr>
    </w:p>
    <w:p w14:paraId="20BD5FBC" w14:textId="77777777" w:rsidR="00B01FCD" w:rsidRDefault="00B01FCD" w:rsidP="0006755B">
      <w:pPr>
        <w:pStyle w:val="Head1"/>
      </w:pPr>
      <w:r>
        <w:t>A</w:t>
      </w:r>
      <w:r w:rsidR="009908CF">
        <w:t>bstract</w:t>
      </w:r>
    </w:p>
    <w:p w14:paraId="6DF805F3" w14:textId="0FE8E1D6" w:rsidR="00287395" w:rsidRDefault="00287395" w:rsidP="00287395">
      <w:r w:rsidRPr="00287395">
        <w:t>Long-duration orbital missions require highly autonomous life-support systems capable of maintaining ecological stability under limited external resupply and stochastic subsystem degradation. Micro closed-loop space station ecosystems integrate water recovery, air regeneration, food storage, waste processing, and energy subsystems into a tightly coupled resource network. However, conventional control strategies are typically based on static threshold rules or deterministic balance models and cannot adapt to stochastic disturbances or multi-objective trade-offs between resource safety and environmental load. This paper proposes an AI-driven adaptive regulation framework for micro closed-loop ecosystems. A state-space dynamic model is constructed to describe coupled water, oxygen, energy, reliability, and internal environmental load evolution. Subsystem degradation and disturbance propagation are incorporated into the transition dynamics. The control problem is formulated as a constrained Markov Decision Process (MDP), where recycling intensity, energy allocation, and external resupply scheduling are optimized. A Proximal Policy Optimization (PPO) algorithm is employed to learn stable control policies under uncertainty. Simulation results demonstrate that the learned policy maintains all resource variables within safe bounds while reducing ecological imbalance and failure risk compared with static allocation strategies. Sensitivity analysis confirms robustness across varying reliability decay rates and environmental weighting factors. The proposed framework provides a scalable autonomous control architecture for sustainable long-duration space station operations.</w:t>
      </w:r>
    </w:p>
    <w:p w14:paraId="28FD9708" w14:textId="0B62D2BB" w:rsidR="00A02501" w:rsidRDefault="00B01FCD" w:rsidP="00287395">
      <w:pPr>
        <w:pStyle w:val="Head1"/>
      </w:pPr>
      <w:r w:rsidRPr="00A418D3">
        <w:t>I</w:t>
      </w:r>
      <w:r w:rsidR="009908CF">
        <w:t>ntroduction</w:t>
      </w:r>
    </w:p>
    <w:p w14:paraId="02A6AEA5" w14:textId="77777777" w:rsidR="00287395" w:rsidRPr="00287395" w:rsidRDefault="00287395" w:rsidP="00287395">
      <w:r w:rsidRPr="00287395">
        <w:t>Long-duration orbital habitats operate under strict mass, energy, and reliability constraints. In such environments, life-support systems must recycle water and air while minimizing waste accumulation and maintaining energy balance. Unlike short missions with frequent resupply, extended missions rely on tightly coupled micro closed-loop ecosystems in which subsystem degradation and disturbances can propagate across resource flows.</w:t>
      </w:r>
    </w:p>
    <w:p w14:paraId="4F8690FC" w14:textId="77777777" w:rsidR="00287395" w:rsidRPr="00287395" w:rsidRDefault="00287395" w:rsidP="00287395">
      <w:r w:rsidRPr="00287395">
        <w:t xml:space="preserve">Traditional life-support management strategies rely on fixed threshold control or deterministic mass balance models. These methods assume predictable subsystem performance and cannot anticipate stochastic recycling efficiency decay or environmental load </w:t>
      </w:r>
      <w:r w:rsidRPr="00287395">
        <w:t>accumulation. As mission duration increases, such assumptions become insufficient.</w:t>
      </w:r>
    </w:p>
    <w:p w14:paraId="7874F15B" w14:textId="77777777" w:rsidR="00287395" w:rsidRPr="00287395" w:rsidRDefault="00287395" w:rsidP="00287395">
      <w:r w:rsidRPr="00287395">
        <w:t>Recent advances in reinforcement learning (RL) have demonstrated effectiveness in aerospace control tasks, including energy management and fault-tolerant control. However, its application to integrated ecological regulation remains limited.</w:t>
      </w:r>
    </w:p>
    <w:p w14:paraId="395C30C9" w14:textId="77777777" w:rsidR="00287395" w:rsidRPr="00287395" w:rsidRDefault="00287395" w:rsidP="00287395">
      <w:r w:rsidRPr="00287395">
        <w:t>This paper develops an AI-based adaptive regulation framework for micro closed-loop space station ecosystems. The contributions are:</w:t>
      </w:r>
    </w:p>
    <w:p w14:paraId="20C86B42" w14:textId="77777777" w:rsidR="00287395" w:rsidRPr="00287395" w:rsidRDefault="00287395" w:rsidP="00287395">
      <w:pPr>
        <w:numPr>
          <w:ilvl w:val="0"/>
          <w:numId w:val="5"/>
        </w:numPr>
      </w:pPr>
      <w:r w:rsidRPr="00287395">
        <w:t>A compact dynamic model integrating resource balance, subsystem reliability, and environmental load.</w:t>
      </w:r>
    </w:p>
    <w:p w14:paraId="43C78D75" w14:textId="77777777" w:rsidR="00287395" w:rsidRPr="00287395" w:rsidRDefault="00287395" w:rsidP="00287395">
      <w:pPr>
        <w:numPr>
          <w:ilvl w:val="0"/>
          <w:numId w:val="5"/>
        </w:numPr>
      </w:pPr>
      <w:r w:rsidRPr="00287395">
        <w:t>A constrained MDP formulation capturing stochastic degradation and ecological coupling.</w:t>
      </w:r>
    </w:p>
    <w:p w14:paraId="6BAC6F9D" w14:textId="40DB2235" w:rsidR="00287395" w:rsidRDefault="00287395" w:rsidP="00A02501">
      <w:pPr>
        <w:numPr>
          <w:ilvl w:val="0"/>
          <w:numId w:val="5"/>
        </w:numPr>
        <w:rPr>
          <w:rFonts w:hint="eastAsia"/>
        </w:rPr>
      </w:pPr>
      <w:r w:rsidRPr="00287395">
        <w:t>A PPO-based policy that achieves stable regulation under uncertainty.</w:t>
      </w:r>
    </w:p>
    <w:p w14:paraId="267B0195" w14:textId="3036393E" w:rsidR="006265DE" w:rsidRPr="00AE6D1E" w:rsidRDefault="00287395" w:rsidP="006265DE">
      <w:pPr>
        <w:pStyle w:val="Head1"/>
        <w:rPr>
          <w:rFonts w:hint="eastAsia"/>
        </w:rPr>
      </w:pPr>
      <w:r w:rsidRPr="00287395">
        <w:t>Micro Closed-Loop Ecosystem Modeling</w:t>
      </w:r>
    </w:p>
    <w:p w14:paraId="60FC1FEB" w14:textId="20497CB6" w:rsidR="00C511C8" w:rsidRDefault="006265DE" w:rsidP="00C511C8">
      <w:pPr>
        <w:pStyle w:val="Head3"/>
      </w:pPr>
      <w:r w:rsidRPr="006265DE">
        <w:t>State Representation</w:t>
      </w:r>
    </w:p>
    <w:p w14:paraId="436164EB" w14:textId="77777777" w:rsidR="00684B6B" w:rsidRPr="00684B6B" w:rsidRDefault="00684B6B" w:rsidP="00684B6B">
      <w:r>
        <w:t xml:space="preserve">A [Head3] style tag applied </w:t>
      </w:r>
      <w:r w:rsidR="0035590F">
        <w:t xml:space="preserve">to the heading </w:t>
      </w:r>
      <w:r>
        <w:t xml:space="preserve">above is </w:t>
      </w:r>
      <w:proofErr w:type="gramStart"/>
      <w:r>
        <w:t>1</w:t>
      </w:r>
      <w:r w:rsidR="00F26681">
        <w:t>0</w:t>
      </w:r>
      <w:r>
        <w:t xml:space="preserve"> point</w:t>
      </w:r>
      <w:proofErr w:type="gramEnd"/>
      <w:r>
        <w:t>, initial caps, bold.</w:t>
      </w:r>
      <w:r w:rsidR="006E120E">
        <w:t xml:space="preserve"> </w:t>
      </w:r>
      <w:r>
        <w:t>The [Normal] style tag should be us</w:t>
      </w:r>
      <w:r w:rsidR="00F26681">
        <w:t>ed for paragraph text which is 9</w:t>
      </w:r>
      <w:r>
        <w:t xml:space="preserve"> </w:t>
      </w:r>
      <w:proofErr w:type="gramStart"/>
      <w:r>
        <w:t>point</w:t>
      </w:r>
      <w:proofErr w:type="gramEnd"/>
      <w:r w:rsidR="00F26681">
        <w:t>, regular</w:t>
      </w:r>
      <w:r>
        <w:t>.</w:t>
      </w:r>
    </w:p>
    <w:p w14:paraId="75236111" w14:textId="4A2DD2AF" w:rsidR="006265DE" w:rsidRDefault="006265DE" w:rsidP="006265DE">
      <w:pPr>
        <w:pStyle w:val="Head3"/>
      </w:pPr>
      <w:r w:rsidRPr="006265DE">
        <w:t>Resource Dynamics</w:t>
      </w:r>
    </w:p>
    <w:p w14:paraId="694FCFAB" w14:textId="77777777" w:rsidR="006265DE" w:rsidRPr="00684B6B" w:rsidRDefault="006265DE" w:rsidP="006265DE">
      <w:r>
        <w:t xml:space="preserve">A [Head3] style tag applied to the heading above is </w:t>
      </w:r>
      <w:proofErr w:type="gramStart"/>
      <w:r>
        <w:t>10 point</w:t>
      </w:r>
      <w:proofErr w:type="gramEnd"/>
      <w:r>
        <w:t xml:space="preserve">, initial caps, bold. The [Normal] style tag should be used for paragraph text which is 9 </w:t>
      </w:r>
      <w:proofErr w:type="gramStart"/>
      <w:r>
        <w:t>point</w:t>
      </w:r>
      <w:proofErr w:type="gramEnd"/>
      <w:r>
        <w:t>, regular.</w:t>
      </w:r>
    </w:p>
    <w:p w14:paraId="35DED51F" w14:textId="399CC93E" w:rsidR="006265DE" w:rsidRDefault="006265DE" w:rsidP="006265DE">
      <w:pPr>
        <w:pStyle w:val="Head3"/>
      </w:pPr>
      <w:r w:rsidRPr="006265DE">
        <w:t>Reliability Modeling</w:t>
      </w:r>
    </w:p>
    <w:p w14:paraId="40A2E5B8" w14:textId="77777777" w:rsidR="006265DE" w:rsidRPr="00684B6B" w:rsidRDefault="006265DE" w:rsidP="006265DE">
      <w:r>
        <w:t xml:space="preserve">A [Head3] style tag applied to the heading above is </w:t>
      </w:r>
      <w:proofErr w:type="gramStart"/>
      <w:r>
        <w:t>10 point</w:t>
      </w:r>
      <w:proofErr w:type="gramEnd"/>
      <w:r>
        <w:t xml:space="preserve">, initial caps, bold. The [Normal] style tag should be used for paragraph text which is 9 </w:t>
      </w:r>
      <w:proofErr w:type="gramStart"/>
      <w:r>
        <w:t>point</w:t>
      </w:r>
      <w:proofErr w:type="gramEnd"/>
      <w:r>
        <w:t>, regular.</w:t>
      </w:r>
    </w:p>
    <w:p w14:paraId="4453AD6B" w14:textId="6A85F51C" w:rsidR="006265DE" w:rsidRDefault="006265DE" w:rsidP="006265DE">
      <w:pPr>
        <w:pStyle w:val="Head3"/>
      </w:pPr>
      <w:r w:rsidRPr="006265DE">
        <w:lastRenderedPageBreak/>
        <w:t>Operational Constraints</w:t>
      </w:r>
    </w:p>
    <w:p w14:paraId="5930B916" w14:textId="77777777" w:rsidR="006265DE" w:rsidRPr="00684B6B" w:rsidRDefault="006265DE" w:rsidP="006265DE">
      <w:r>
        <w:t xml:space="preserve">A [Head3] style tag applied to the heading above is </w:t>
      </w:r>
      <w:proofErr w:type="gramStart"/>
      <w:r>
        <w:t>10 point</w:t>
      </w:r>
      <w:proofErr w:type="gramEnd"/>
      <w:r>
        <w:t xml:space="preserve">, initial caps, bold. The [Normal] style tag should be used for paragraph text which is 9 </w:t>
      </w:r>
      <w:proofErr w:type="gramStart"/>
      <w:r>
        <w:t>point</w:t>
      </w:r>
      <w:proofErr w:type="gramEnd"/>
      <w:r>
        <w:t>, regular.</w:t>
      </w:r>
    </w:p>
    <w:p w14:paraId="56B9611E" w14:textId="6D4E9098" w:rsidR="006265DE" w:rsidRDefault="006265DE" w:rsidP="006265DE">
      <w:pPr>
        <w:pStyle w:val="Head1"/>
        <w:rPr>
          <w:lang w:eastAsia="zh-CN"/>
        </w:rPr>
      </w:pPr>
      <w:r w:rsidRPr="006265DE">
        <w:rPr>
          <w:lang w:eastAsia="zh-CN"/>
        </w:rPr>
        <w:t>AI-Based Adaptive Regulation Framework</w:t>
      </w:r>
    </w:p>
    <w:p w14:paraId="20CFA03B" w14:textId="77777777" w:rsidR="006265DE" w:rsidRPr="00287395" w:rsidRDefault="006265DE" w:rsidP="006265DE">
      <w:pPr>
        <w:rPr>
          <w:lang w:eastAsia="zh-CN"/>
        </w:rPr>
      </w:pPr>
      <w:r w:rsidRPr="00287395">
        <w:rPr>
          <w:lang w:eastAsia="zh-CN"/>
        </w:rPr>
        <w:t>The results indicate that adaptive regulation anticipates subsystem degradation and reallocates resources proactively, unlike static policies that respond only after threshold violations. The learned policy balances recycling intensity and energy allocation to suppress ecological load growth.</w:t>
      </w:r>
    </w:p>
    <w:p w14:paraId="5842B33A" w14:textId="77777777" w:rsidR="006265DE" w:rsidRPr="00287395" w:rsidRDefault="006265DE" w:rsidP="006265DE">
      <w:pPr>
        <w:rPr>
          <w:rFonts w:hint="eastAsia"/>
          <w:lang w:eastAsia="zh-CN"/>
        </w:rPr>
      </w:pPr>
      <w:r w:rsidRPr="00287395">
        <w:rPr>
          <w:lang w:eastAsia="zh-CN"/>
        </w:rPr>
        <w:t>The framework demonstrates robustness under stochastic disturbances and supports scalable integration into future deep-space habitats. Although simplified dynamics are used, the architecture can incorporate higher-fidelity subsystem models.</w:t>
      </w:r>
    </w:p>
    <w:p w14:paraId="700CCA5A" w14:textId="0EBEA25A" w:rsidR="006265DE" w:rsidRDefault="006265DE" w:rsidP="006265DE">
      <w:pPr>
        <w:pStyle w:val="Head1"/>
        <w:rPr>
          <w:lang w:eastAsia="zh-CN"/>
        </w:rPr>
      </w:pPr>
      <w:r w:rsidRPr="006265DE">
        <w:rPr>
          <w:lang w:eastAsia="zh-CN"/>
        </w:rPr>
        <w:t>Simulation and Results</w:t>
      </w:r>
    </w:p>
    <w:p w14:paraId="35BBD4B5" w14:textId="77777777" w:rsidR="006265DE" w:rsidRPr="00287395" w:rsidRDefault="006265DE" w:rsidP="006265DE">
      <w:pPr>
        <w:rPr>
          <w:lang w:eastAsia="zh-CN"/>
        </w:rPr>
      </w:pPr>
      <w:r w:rsidRPr="00287395">
        <w:rPr>
          <w:lang w:eastAsia="zh-CN"/>
        </w:rPr>
        <w:t>The results indicate that adaptive regulation anticipates subsystem degradation and reallocates resources proactively, unlike static policies that respond only after threshold violations. The learned policy balances recycling intensity and energy allocation to suppress ecological load growth.</w:t>
      </w:r>
    </w:p>
    <w:p w14:paraId="01DC00E5" w14:textId="77777777" w:rsidR="006265DE" w:rsidRPr="00287395" w:rsidRDefault="006265DE" w:rsidP="006265DE">
      <w:pPr>
        <w:rPr>
          <w:rFonts w:hint="eastAsia"/>
          <w:lang w:eastAsia="zh-CN"/>
        </w:rPr>
      </w:pPr>
      <w:r w:rsidRPr="00287395">
        <w:rPr>
          <w:lang w:eastAsia="zh-CN"/>
        </w:rPr>
        <w:t>The framework demonstrates robustness under stochastic disturbances and supports scalable integration into future deep-space habitats. Although simplified dynamics are used, the architecture can incorporate higher-fidelity subsystem models.</w:t>
      </w:r>
    </w:p>
    <w:p w14:paraId="11322840" w14:textId="77777777" w:rsidR="005F1222" w:rsidRDefault="005F1222" w:rsidP="00684B6B"/>
    <w:p w14:paraId="00D9EDE0" w14:textId="0C5A487D" w:rsidR="00274C68" w:rsidRPr="005F1222" w:rsidRDefault="00274C68" w:rsidP="00274C68">
      <w:pPr>
        <w:pStyle w:val="TableTitle"/>
        <w:rPr>
          <w:color w:val="000000" w:themeColor="text1"/>
        </w:rPr>
      </w:pPr>
      <w:r w:rsidRPr="005F1222">
        <w:rPr>
          <w:color w:val="000000" w:themeColor="text1"/>
        </w:rPr>
        <w:t>Table 1. This is an example of a table and table title. For tables, the recommended size is 3.5 inches. Table titles are 8 point and are placed above the table. The Normal Table Text style tag should be applied to the table text.</w:t>
      </w:r>
    </w:p>
    <w:tbl>
      <w:tblPr>
        <w:tblStyle w:val="TableGridCenter"/>
        <w:tblW w:w="5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82"/>
        <w:gridCol w:w="2458"/>
      </w:tblGrid>
      <w:tr w:rsidR="00274C68" w:rsidRPr="00A319AC" w14:paraId="53E18F6D" w14:textId="77777777">
        <w:trPr>
          <w:trHeight w:hRule="exact" w:val="270"/>
        </w:trPr>
        <w:tc>
          <w:tcPr>
            <w:tcW w:w="2582" w:type="dxa"/>
          </w:tcPr>
          <w:p w14:paraId="43876412" w14:textId="77777777" w:rsidR="00274C68" w:rsidRPr="00C625DA" w:rsidRDefault="00274C68" w:rsidP="00C625DA">
            <w:pPr>
              <w:pStyle w:val="NormalTableText"/>
            </w:pPr>
            <w:r w:rsidRPr="00C625DA">
              <w:t>Displaced volume</w:t>
            </w:r>
          </w:p>
        </w:tc>
        <w:tc>
          <w:tcPr>
            <w:tcW w:w="2458" w:type="dxa"/>
          </w:tcPr>
          <w:p w14:paraId="3C16DB23" w14:textId="77777777" w:rsidR="00274C68" w:rsidRPr="00C625DA" w:rsidRDefault="00274C68" w:rsidP="00C625DA">
            <w:pPr>
              <w:pStyle w:val="NormalTableText"/>
            </w:pPr>
            <w:r w:rsidRPr="00C625DA">
              <w:t>1966 cc</w:t>
            </w:r>
          </w:p>
        </w:tc>
      </w:tr>
      <w:tr w:rsidR="00274C68" w:rsidRPr="00A319AC" w14:paraId="60899015" w14:textId="77777777">
        <w:trPr>
          <w:trHeight w:hRule="exact" w:val="270"/>
        </w:trPr>
        <w:tc>
          <w:tcPr>
            <w:tcW w:w="2582" w:type="dxa"/>
          </w:tcPr>
          <w:p w14:paraId="0F482DE7" w14:textId="77777777" w:rsidR="00274C68" w:rsidRPr="00C625DA" w:rsidRDefault="00274C68" w:rsidP="00C625DA">
            <w:pPr>
              <w:pStyle w:val="NormalTableText"/>
            </w:pPr>
            <w:r w:rsidRPr="00C625DA">
              <w:t>Stroke</w:t>
            </w:r>
          </w:p>
        </w:tc>
        <w:tc>
          <w:tcPr>
            <w:tcW w:w="2458" w:type="dxa"/>
          </w:tcPr>
          <w:p w14:paraId="5F15C092" w14:textId="77777777" w:rsidR="00274C68" w:rsidRPr="00C625DA" w:rsidRDefault="00274C68" w:rsidP="00C625DA">
            <w:pPr>
              <w:pStyle w:val="NormalTableText"/>
            </w:pPr>
            <w:r w:rsidRPr="00C625DA">
              <w:t xml:space="preserve">154 mm </w:t>
            </w:r>
          </w:p>
        </w:tc>
      </w:tr>
      <w:tr w:rsidR="00274C68" w:rsidRPr="00A319AC" w14:paraId="19AC1361" w14:textId="77777777">
        <w:trPr>
          <w:trHeight w:hRule="exact" w:val="270"/>
        </w:trPr>
        <w:tc>
          <w:tcPr>
            <w:tcW w:w="2582" w:type="dxa"/>
          </w:tcPr>
          <w:p w14:paraId="186956D0" w14:textId="77777777" w:rsidR="00274C68" w:rsidRPr="00C625DA" w:rsidRDefault="00274C68" w:rsidP="00C625DA">
            <w:pPr>
              <w:pStyle w:val="NormalTableText"/>
            </w:pPr>
            <w:r w:rsidRPr="00C625DA">
              <w:t>Bore</w:t>
            </w:r>
          </w:p>
        </w:tc>
        <w:tc>
          <w:tcPr>
            <w:tcW w:w="2458" w:type="dxa"/>
          </w:tcPr>
          <w:p w14:paraId="1C343398" w14:textId="77777777" w:rsidR="00274C68" w:rsidRPr="00C625DA" w:rsidRDefault="00274C68" w:rsidP="00C625DA">
            <w:pPr>
              <w:pStyle w:val="NormalTableText"/>
            </w:pPr>
            <w:r w:rsidRPr="00C625DA">
              <w:t xml:space="preserve">127.5 mm </w:t>
            </w:r>
          </w:p>
        </w:tc>
      </w:tr>
      <w:tr w:rsidR="00274C68" w:rsidRPr="00A319AC" w14:paraId="7FEC4400" w14:textId="77777777">
        <w:trPr>
          <w:trHeight w:hRule="exact" w:val="270"/>
        </w:trPr>
        <w:tc>
          <w:tcPr>
            <w:tcW w:w="2582" w:type="dxa"/>
          </w:tcPr>
          <w:p w14:paraId="79703CD0" w14:textId="77777777" w:rsidR="00274C68" w:rsidRPr="00C625DA" w:rsidRDefault="00274C68" w:rsidP="00C625DA">
            <w:pPr>
              <w:pStyle w:val="NormalTableText"/>
            </w:pPr>
            <w:r w:rsidRPr="00C625DA">
              <w:t>Connecting Rod</w:t>
            </w:r>
          </w:p>
        </w:tc>
        <w:tc>
          <w:tcPr>
            <w:tcW w:w="2458" w:type="dxa"/>
          </w:tcPr>
          <w:p w14:paraId="61D9E9D4" w14:textId="77777777" w:rsidR="00274C68" w:rsidRPr="00C625DA" w:rsidRDefault="00274C68" w:rsidP="00C625DA">
            <w:pPr>
              <w:pStyle w:val="NormalTableText"/>
            </w:pPr>
            <w:r w:rsidRPr="00C625DA">
              <w:t xml:space="preserve">255 mm </w:t>
            </w:r>
          </w:p>
        </w:tc>
      </w:tr>
      <w:tr w:rsidR="00274C68" w:rsidRPr="00A319AC" w14:paraId="22E74749" w14:textId="77777777">
        <w:trPr>
          <w:trHeight w:hRule="exact" w:val="270"/>
        </w:trPr>
        <w:tc>
          <w:tcPr>
            <w:tcW w:w="2582" w:type="dxa"/>
          </w:tcPr>
          <w:p w14:paraId="25F9B9F9" w14:textId="77777777" w:rsidR="00274C68" w:rsidRPr="00C625DA" w:rsidRDefault="00274C68" w:rsidP="00C625DA">
            <w:pPr>
              <w:pStyle w:val="NormalTableText"/>
            </w:pPr>
            <w:r w:rsidRPr="00C625DA">
              <w:t>Compression ratio</w:t>
            </w:r>
          </w:p>
        </w:tc>
        <w:tc>
          <w:tcPr>
            <w:tcW w:w="2458" w:type="dxa"/>
          </w:tcPr>
          <w:p w14:paraId="7860569A" w14:textId="77777777" w:rsidR="00274C68" w:rsidRPr="00C625DA" w:rsidRDefault="00274C68" w:rsidP="00C625DA">
            <w:pPr>
              <w:pStyle w:val="NormalTableText"/>
            </w:pPr>
            <w:r w:rsidRPr="00C625DA">
              <w:t>14.3:1</w:t>
            </w:r>
          </w:p>
        </w:tc>
      </w:tr>
      <w:tr w:rsidR="00274C68" w:rsidRPr="00A319AC" w14:paraId="3884ECB9" w14:textId="77777777">
        <w:trPr>
          <w:trHeight w:hRule="exact" w:val="270"/>
        </w:trPr>
        <w:tc>
          <w:tcPr>
            <w:tcW w:w="2582" w:type="dxa"/>
          </w:tcPr>
          <w:p w14:paraId="1DA68062" w14:textId="77777777" w:rsidR="00274C68" w:rsidRPr="00C625DA" w:rsidRDefault="00274C68" w:rsidP="00C625DA">
            <w:pPr>
              <w:pStyle w:val="NormalTableText"/>
            </w:pPr>
            <w:r w:rsidRPr="00C625DA">
              <w:t>Number of Valves</w:t>
            </w:r>
          </w:p>
        </w:tc>
        <w:tc>
          <w:tcPr>
            <w:tcW w:w="2458" w:type="dxa"/>
          </w:tcPr>
          <w:p w14:paraId="1797E04F" w14:textId="77777777" w:rsidR="00274C68" w:rsidRPr="00C625DA" w:rsidRDefault="00274C68" w:rsidP="00C625DA">
            <w:pPr>
              <w:pStyle w:val="NormalTableText"/>
            </w:pPr>
            <w:r w:rsidRPr="00C625DA">
              <w:t>4</w:t>
            </w:r>
          </w:p>
        </w:tc>
      </w:tr>
      <w:tr w:rsidR="00274C68" w:rsidRPr="00A319AC" w14:paraId="56F29D5F" w14:textId="77777777">
        <w:trPr>
          <w:trHeight w:hRule="exact" w:val="270"/>
        </w:trPr>
        <w:tc>
          <w:tcPr>
            <w:tcW w:w="2582" w:type="dxa"/>
          </w:tcPr>
          <w:p w14:paraId="5E7A4D9F" w14:textId="77777777" w:rsidR="00274C68" w:rsidRPr="00C625DA" w:rsidRDefault="00274C68" w:rsidP="00C625DA">
            <w:pPr>
              <w:pStyle w:val="NormalTableText"/>
            </w:pPr>
            <w:r w:rsidRPr="00C625DA">
              <w:t>Exhaust Valve Open</w:t>
            </w:r>
          </w:p>
        </w:tc>
        <w:tc>
          <w:tcPr>
            <w:tcW w:w="2458" w:type="dxa"/>
          </w:tcPr>
          <w:p w14:paraId="1500B37E" w14:textId="77777777" w:rsidR="00274C68" w:rsidRPr="00C625DA" w:rsidRDefault="00274C68" w:rsidP="00C625DA">
            <w:pPr>
              <w:pStyle w:val="NormalTableText"/>
            </w:pPr>
            <w:r w:rsidRPr="00C625DA">
              <w:t>34° BBDC @ 0.15 mm lift</w:t>
            </w:r>
          </w:p>
        </w:tc>
      </w:tr>
      <w:tr w:rsidR="00274C68" w:rsidRPr="00A319AC" w14:paraId="0D34FBE5" w14:textId="77777777">
        <w:trPr>
          <w:trHeight w:hRule="exact" w:val="270"/>
        </w:trPr>
        <w:tc>
          <w:tcPr>
            <w:tcW w:w="2582" w:type="dxa"/>
          </w:tcPr>
          <w:p w14:paraId="348C32FC" w14:textId="77777777" w:rsidR="00274C68" w:rsidRPr="00C625DA" w:rsidRDefault="00274C68" w:rsidP="00C625DA">
            <w:pPr>
              <w:pStyle w:val="NormalTableText"/>
            </w:pPr>
            <w:r w:rsidRPr="00C625DA">
              <w:t>Exhaust Valve Close</w:t>
            </w:r>
          </w:p>
        </w:tc>
        <w:tc>
          <w:tcPr>
            <w:tcW w:w="2458" w:type="dxa"/>
          </w:tcPr>
          <w:p w14:paraId="018CAF7D" w14:textId="77777777" w:rsidR="00274C68" w:rsidRPr="00C625DA" w:rsidRDefault="00274C68" w:rsidP="00C625DA">
            <w:pPr>
              <w:pStyle w:val="NormalTableText"/>
            </w:pPr>
            <w:r w:rsidRPr="00C625DA">
              <w:t>6° BTDC @ 0.15 mm lift</w:t>
            </w:r>
          </w:p>
        </w:tc>
      </w:tr>
      <w:tr w:rsidR="00274C68" w:rsidRPr="00A319AC" w14:paraId="2DA8C900" w14:textId="77777777">
        <w:trPr>
          <w:trHeight w:hRule="exact" w:val="270"/>
        </w:trPr>
        <w:tc>
          <w:tcPr>
            <w:tcW w:w="2582" w:type="dxa"/>
          </w:tcPr>
          <w:p w14:paraId="44B03D7C" w14:textId="77777777" w:rsidR="00274C68" w:rsidRPr="00C625DA" w:rsidRDefault="00274C68" w:rsidP="00C625DA">
            <w:pPr>
              <w:pStyle w:val="NormalTableText"/>
            </w:pPr>
            <w:r w:rsidRPr="00C625DA">
              <w:t>Inlet Valve Open</w:t>
            </w:r>
          </w:p>
        </w:tc>
        <w:tc>
          <w:tcPr>
            <w:tcW w:w="2458" w:type="dxa"/>
          </w:tcPr>
          <w:p w14:paraId="3833935B" w14:textId="77777777" w:rsidR="00274C68" w:rsidRPr="00C625DA" w:rsidRDefault="00274C68" w:rsidP="00C625DA">
            <w:pPr>
              <w:pStyle w:val="NormalTableText"/>
            </w:pPr>
            <w:r w:rsidRPr="00C625DA">
              <w:t>2</w:t>
            </w:r>
            <w:proofErr w:type="gramStart"/>
            <w:r w:rsidRPr="00C625DA">
              <w:t>°  BTDC</w:t>
            </w:r>
            <w:proofErr w:type="gramEnd"/>
            <w:r w:rsidRPr="00C625DA">
              <w:t xml:space="preserve"> @ 0.15 mm lift</w:t>
            </w:r>
          </w:p>
        </w:tc>
      </w:tr>
    </w:tbl>
    <w:p w14:paraId="3F33CEA8" w14:textId="77777777" w:rsidR="00274C68" w:rsidRDefault="00274C68" w:rsidP="00274C68"/>
    <w:p w14:paraId="418BCBB6" w14:textId="77777777" w:rsidR="00FD3482" w:rsidRDefault="00FD3482" w:rsidP="005B6432">
      <w:pPr>
        <w:pStyle w:val="Figure"/>
      </w:pPr>
      <w:r w:rsidRPr="00FD3482">
        <w:rPr>
          <w:noProof/>
        </w:rPr>
        <w:drawing>
          <wp:inline distT="0" distB="0" distL="0" distR="0" wp14:anchorId="005C9813" wp14:editId="7B42C9B2">
            <wp:extent cx="3200400" cy="2234461"/>
            <wp:effectExtent l="0" t="0" r="0" b="0"/>
            <wp:docPr id="1" name="Picture 0" descr="2010-01-0033_fig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0-01-0033_fig0002.jpg"/>
                    <pic:cNvPicPr/>
                  </pic:nvPicPr>
                  <pic:blipFill>
                    <a:blip r:embed="rId10" cstate="print"/>
                    <a:stretch>
                      <a:fillRect/>
                    </a:stretch>
                  </pic:blipFill>
                  <pic:spPr>
                    <a:xfrm>
                      <a:off x="0" y="0"/>
                      <a:ext cx="3200400" cy="2234461"/>
                    </a:xfrm>
                    <a:prstGeom prst="rect">
                      <a:avLst/>
                    </a:prstGeom>
                  </pic:spPr>
                </pic:pic>
              </a:graphicData>
            </a:graphic>
          </wp:inline>
        </w:drawing>
      </w:r>
    </w:p>
    <w:p w14:paraId="2B12E64D" w14:textId="79FA2494" w:rsidR="00FD3482" w:rsidRPr="005F1222" w:rsidRDefault="00327F61" w:rsidP="00FD3482">
      <w:pPr>
        <w:pStyle w:val="FigureCaption"/>
        <w:rPr>
          <w:color w:val="000000" w:themeColor="text1"/>
        </w:rPr>
      </w:pPr>
      <w:r w:rsidRPr="005F1222">
        <w:rPr>
          <w:color w:val="000000" w:themeColor="text1"/>
        </w:rPr>
        <w:t>Figure 1.</w:t>
      </w:r>
      <w:r w:rsidR="00FD3482" w:rsidRPr="005F1222">
        <w:rPr>
          <w:color w:val="000000" w:themeColor="text1"/>
        </w:rPr>
        <w:t xml:space="preserve"> </w:t>
      </w:r>
      <w:r w:rsidR="00C511C8" w:rsidRPr="005F1222">
        <w:rPr>
          <w:color w:val="000000" w:themeColor="text1"/>
        </w:rPr>
        <w:t>E</w:t>
      </w:r>
      <w:r w:rsidR="008C19F5" w:rsidRPr="005F1222">
        <w:rPr>
          <w:color w:val="000000" w:themeColor="text1"/>
        </w:rPr>
        <w:t xml:space="preserve">xample of a figure and figure caption. The sample figure has been sized </w:t>
      </w:r>
      <w:r w:rsidR="00A97E1A" w:rsidRPr="005F1222">
        <w:rPr>
          <w:color w:val="000000" w:themeColor="text1"/>
        </w:rPr>
        <w:t xml:space="preserve">to </w:t>
      </w:r>
      <w:r w:rsidR="008C19F5" w:rsidRPr="005F1222">
        <w:rPr>
          <w:color w:val="000000" w:themeColor="text1"/>
        </w:rPr>
        <w:t>3.5</w:t>
      </w:r>
      <w:r w:rsidR="00615BE0" w:rsidRPr="005F1222">
        <w:rPr>
          <w:color w:val="000000" w:themeColor="text1"/>
        </w:rPr>
        <w:t xml:space="preserve"> </w:t>
      </w:r>
      <w:r w:rsidR="008C19F5" w:rsidRPr="005F1222">
        <w:rPr>
          <w:color w:val="000000" w:themeColor="text1"/>
        </w:rPr>
        <w:t>inches wide,</w:t>
      </w:r>
      <w:r w:rsidR="00A97E1A" w:rsidRPr="005F1222">
        <w:rPr>
          <w:color w:val="000000" w:themeColor="text1"/>
        </w:rPr>
        <w:t xml:space="preserve"> which is the recommended size</w:t>
      </w:r>
      <w:r w:rsidR="008C19F5" w:rsidRPr="005F1222">
        <w:rPr>
          <w:color w:val="000000" w:themeColor="text1"/>
        </w:rPr>
        <w:t>.</w:t>
      </w:r>
      <w:r w:rsidR="00F26681" w:rsidRPr="005F1222">
        <w:rPr>
          <w:color w:val="000000" w:themeColor="text1"/>
        </w:rPr>
        <w:t xml:space="preserve"> Captions for figures are 8</w:t>
      </w:r>
      <w:r w:rsidR="00B10F00" w:rsidRPr="005F1222">
        <w:rPr>
          <w:color w:val="000000" w:themeColor="text1"/>
        </w:rPr>
        <w:t xml:space="preserve"> p</w:t>
      </w:r>
      <w:r w:rsidR="006B1A70" w:rsidRPr="005F1222">
        <w:rPr>
          <w:color w:val="000000" w:themeColor="text1"/>
        </w:rPr>
        <w:t>oint</w:t>
      </w:r>
      <w:r w:rsidR="005F1222">
        <w:rPr>
          <w:color w:val="000000" w:themeColor="text1"/>
        </w:rPr>
        <w:t xml:space="preserve"> </w:t>
      </w:r>
      <w:r w:rsidR="00112558" w:rsidRPr="005F1222">
        <w:rPr>
          <w:color w:val="000000" w:themeColor="text1"/>
        </w:rPr>
        <w:t>and are placed below the figure.</w:t>
      </w:r>
    </w:p>
    <w:p w14:paraId="0F19E201" w14:textId="77777777" w:rsidR="00BB0F44" w:rsidRDefault="00CD7086" w:rsidP="00BB0F44">
      <w:pPr>
        <w:pStyle w:val="List-Ordered-Numeric"/>
      </w:pPr>
      <w:r>
        <w:t>This is an example of an ordered list</w:t>
      </w:r>
      <w:r w:rsidR="007F70DE">
        <w:t xml:space="preserve">. </w:t>
      </w:r>
      <w:r>
        <w:t xml:space="preserve">When creating this type of list </w:t>
      </w:r>
      <w:r w:rsidR="00BB0F44">
        <w:t xml:space="preserve">do not </w:t>
      </w:r>
      <w:r w:rsidR="007F5607">
        <w:t>enclose number or letter in parenthes</w:t>
      </w:r>
      <w:r w:rsidR="00466818">
        <w:t>e</w:t>
      </w:r>
      <w:r w:rsidR="007F5607">
        <w:t>s i.e.</w:t>
      </w:r>
      <w:r w:rsidR="00466818">
        <w:t>,</w:t>
      </w:r>
      <w:r w:rsidR="007F5607">
        <w:t xml:space="preserve"> (1) or (a).</w:t>
      </w:r>
      <w:r w:rsidR="00BB0F44">
        <w:t xml:space="preserve"> </w:t>
      </w:r>
      <w:proofErr w:type="gramStart"/>
      <w:r w:rsidR="00BB0F44">
        <w:t>Instead</w:t>
      </w:r>
      <w:proofErr w:type="gramEnd"/>
      <w:r w:rsidR="00BB0F44">
        <w:t xml:space="preserve"> number as shown in this </w:t>
      </w:r>
      <w:r w:rsidR="00DB0C29">
        <w:t>example</w:t>
      </w:r>
      <w:r w:rsidR="00BB0F44">
        <w:t>.</w:t>
      </w:r>
    </w:p>
    <w:p w14:paraId="6F000585" w14:textId="77777777" w:rsidR="00FD3482" w:rsidRDefault="000F51C0" w:rsidP="0010106B">
      <w:r>
        <w:t xml:space="preserve">Shown are </w:t>
      </w:r>
      <w:r w:rsidR="008C19F5">
        <w:t>example</w:t>
      </w:r>
      <w:r>
        <w:t>s</w:t>
      </w:r>
      <w:r w:rsidR="008C19F5">
        <w:t xml:space="preserve"> of equation</w:t>
      </w:r>
      <w:r>
        <w:t>s</w:t>
      </w:r>
      <w:r w:rsidR="008C19F5">
        <w:t>. All equations wider than 3.5 inches mu</w:t>
      </w:r>
      <w:r w:rsidR="007029E1">
        <w:t>st be wrapped to the next line</w:t>
      </w:r>
      <w:r w:rsidR="002B1648">
        <w:t xml:space="preserve"> as shown in equation</w:t>
      </w:r>
      <w:r w:rsidR="008A5AEE">
        <w:t xml:space="preserve"> 2</w:t>
      </w:r>
      <w:r w:rsidR="007029E1">
        <w:t>.</w:t>
      </w:r>
    </w:p>
    <w:p w14:paraId="6EE0B241" w14:textId="77777777" w:rsidR="005675E1" w:rsidRDefault="005675E1" w:rsidP="0010106B">
      <w:r w:rsidRPr="00C47225">
        <w:rPr>
          <w:rFonts w:ascii="Arial" w:hAnsi="Arial" w:cs="Arial"/>
          <w:noProof/>
        </w:rPr>
        <w:drawing>
          <wp:inline distT="0" distB="0" distL="0" distR="0" wp14:anchorId="4C40A5BB" wp14:editId="6722C6BB">
            <wp:extent cx="3200400" cy="560705"/>
            <wp:effectExtent l="0" t="0" r="0" b="0"/>
            <wp:docPr id="3" name="Picture 1" descr="eq.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tif"/>
                    <pic:cNvPicPr/>
                  </pic:nvPicPr>
                  <pic:blipFill>
                    <a:blip r:embed="rId11"/>
                    <a:stretch>
                      <a:fillRect/>
                    </a:stretch>
                  </pic:blipFill>
                  <pic:spPr>
                    <a:xfrm>
                      <a:off x="0" y="0"/>
                      <a:ext cx="3200400" cy="560705"/>
                    </a:xfrm>
                    <a:prstGeom prst="rect">
                      <a:avLst/>
                    </a:prstGeom>
                  </pic:spPr>
                </pic:pic>
              </a:graphicData>
            </a:graphic>
          </wp:inline>
        </w:drawing>
      </w:r>
    </w:p>
    <w:p w14:paraId="3D235A07" w14:textId="77777777" w:rsidR="005675E1" w:rsidRDefault="005675E1" w:rsidP="0010106B">
      <w:r>
        <w:t xml:space="preserve">                                                                                                           (1)</w:t>
      </w:r>
    </w:p>
    <w:p w14:paraId="1041A679" w14:textId="77777777" w:rsidR="00C9283F" w:rsidRDefault="008A5AEE" w:rsidP="00C0692C">
      <w:pPr>
        <w:pStyle w:val="Equation"/>
      </w:pPr>
      <w:r>
        <w:rPr>
          <w:noProof/>
        </w:rPr>
        <w:drawing>
          <wp:inline distT="0" distB="0" distL="0" distR="0" wp14:anchorId="3C2EDEEF" wp14:editId="6D2B38FC">
            <wp:extent cx="3200400" cy="823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qu.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823595"/>
                    </a:xfrm>
                    <a:prstGeom prst="rect">
                      <a:avLst/>
                    </a:prstGeom>
                  </pic:spPr>
                </pic:pic>
              </a:graphicData>
            </a:graphic>
          </wp:inline>
        </w:drawing>
      </w:r>
    </w:p>
    <w:p w14:paraId="419C20F6" w14:textId="77777777" w:rsidR="002F5464" w:rsidRPr="005F4F92" w:rsidRDefault="005B6432" w:rsidP="00C0692C">
      <w:pPr>
        <w:pStyle w:val="Equation"/>
      </w:pPr>
      <w:r>
        <w:t xml:space="preserve">                                                         </w:t>
      </w:r>
      <w:r w:rsidR="00C9283F">
        <w:t xml:space="preserve">                                       </w:t>
      </w:r>
      <w:r w:rsidR="00151E0C">
        <w:rPr>
          <w:rFonts w:hint="eastAsia"/>
          <w:lang w:eastAsia="ja-JP"/>
        </w:rPr>
        <w:t>(</w:t>
      </w:r>
      <w:r w:rsidR="005E4273">
        <w:rPr>
          <w:lang w:eastAsia="ja-JP"/>
        </w:rPr>
        <w:t>2</w:t>
      </w:r>
      <w:r w:rsidR="00151E0C">
        <w:rPr>
          <w:rFonts w:hint="eastAsia"/>
          <w:lang w:eastAsia="ja-JP"/>
        </w:rPr>
        <w:t>)</w:t>
      </w:r>
    </w:p>
    <w:p w14:paraId="725B709B" w14:textId="3BC969F2" w:rsidR="00287395" w:rsidRDefault="00287395" w:rsidP="00287395">
      <w:pPr>
        <w:pStyle w:val="Head1"/>
        <w:rPr>
          <w:lang w:eastAsia="zh-CN"/>
        </w:rPr>
      </w:pPr>
      <w:r>
        <w:rPr>
          <w:lang w:eastAsia="zh-CN"/>
        </w:rPr>
        <w:t>D</w:t>
      </w:r>
      <w:r>
        <w:rPr>
          <w:rFonts w:hint="eastAsia"/>
          <w:lang w:eastAsia="zh-CN"/>
        </w:rPr>
        <w:t>iscussion</w:t>
      </w:r>
    </w:p>
    <w:p w14:paraId="59999703" w14:textId="77777777" w:rsidR="00287395" w:rsidRPr="00287395" w:rsidRDefault="00287395" w:rsidP="00287395">
      <w:pPr>
        <w:rPr>
          <w:lang w:eastAsia="zh-CN"/>
        </w:rPr>
      </w:pPr>
      <w:r w:rsidRPr="00287395">
        <w:rPr>
          <w:lang w:eastAsia="zh-CN"/>
        </w:rPr>
        <w:t>The results indicate that adaptive regulation anticipates subsystem degradation and reallocates resources proactively, unlike static policies that respond only after threshold violations. The learned policy balances recycling intensity and energy allocation to suppress ecological load growth.</w:t>
      </w:r>
    </w:p>
    <w:p w14:paraId="6D3F1CBF" w14:textId="668E3F58" w:rsidR="00287395" w:rsidRPr="00287395" w:rsidRDefault="00287395" w:rsidP="00287395">
      <w:pPr>
        <w:rPr>
          <w:rFonts w:hint="eastAsia"/>
          <w:lang w:eastAsia="zh-CN"/>
        </w:rPr>
      </w:pPr>
      <w:r w:rsidRPr="00287395">
        <w:rPr>
          <w:lang w:eastAsia="zh-CN"/>
        </w:rPr>
        <w:t>The framework demonstrates robustness under stochastic disturbances and supports scalable integration into future deep-space habitats. Although simplified dynamics are used, the architecture can incorporate higher-fidelity subsystem models.</w:t>
      </w:r>
    </w:p>
    <w:p w14:paraId="0352ABA3" w14:textId="338AE40C" w:rsidR="00D24567" w:rsidRDefault="001E0A92" w:rsidP="00287395">
      <w:pPr>
        <w:pStyle w:val="Head1"/>
      </w:pPr>
      <w:r>
        <w:t>S</w:t>
      </w:r>
      <w:r w:rsidR="002C6C40">
        <w:t>ummary</w:t>
      </w:r>
      <w:r>
        <w:t>/</w:t>
      </w:r>
      <w:r w:rsidR="00B01FCD">
        <w:t>Conclusion</w:t>
      </w:r>
      <w:r w:rsidR="002C6C40">
        <w:t>s</w:t>
      </w:r>
    </w:p>
    <w:p w14:paraId="409F5BF8" w14:textId="4AE7A3FC" w:rsidR="00287395" w:rsidRDefault="00287395" w:rsidP="00D24567">
      <w:pPr>
        <w:rPr>
          <w:rFonts w:hint="eastAsia"/>
          <w:lang w:eastAsia="zh-CN"/>
        </w:rPr>
      </w:pPr>
      <w:r w:rsidRPr="00287395">
        <w:t xml:space="preserve">This study presents an AI-driven adaptive regulation framework for micro closed-loop space station ecosystems. By integrating resource dynamics, reliability degradation, and environmental load into a </w:t>
      </w:r>
      <w:r w:rsidRPr="00287395">
        <w:lastRenderedPageBreak/>
        <w:t>constrained MDP framework and employing PPO for policy optimization, the system achieves stable ecological regulation under uncertainty. Simulation results confirm improved resource stability, reduced ecological imbalance, and enhanced robustness compared with static control strategies. The proposed approach provides a scalable foundation for autonomous life-support regulation in long-duration orbital missions.</w:t>
      </w:r>
    </w:p>
    <w:p w14:paraId="158F4E14" w14:textId="77777777" w:rsidR="00B01FCD" w:rsidRDefault="00B01FCD" w:rsidP="00A418D3">
      <w:pPr>
        <w:pStyle w:val="Head1"/>
      </w:pPr>
      <w:bookmarkStart w:id="0" w:name="OLE_LINK1"/>
      <w:r>
        <w:t>References</w:t>
      </w:r>
    </w:p>
    <w:bookmarkEnd w:id="0"/>
    <w:p w14:paraId="35B32225" w14:textId="77777777" w:rsidR="000D56B5" w:rsidRDefault="00C205BD" w:rsidP="00F910BE">
      <w:pPr>
        <w:pStyle w:val="List-Ordered-Numeric"/>
        <w:numPr>
          <w:ilvl w:val="0"/>
          <w:numId w:val="3"/>
        </w:numPr>
      </w:pPr>
      <w:r>
        <w:t xml:space="preserve">SAE uses the </w:t>
      </w:r>
      <w:hyperlink r:id="rId13" w:history="1">
        <w:r w:rsidRPr="00466818">
          <w:rPr>
            <w:u w:val="single"/>
          </w:rPr>
          <w:t>Chicago Manual of Style</w:t>
        </w:r>
      </w:hyperlink>
      <w:r>
        <w:t xml:space="preserve"> in formatting references. In the text of the paper the citations are numerically identified using square brackets</w:t>
      </w:r>
      <w:r w:rsidR="00A54231">
        <w:t xml:space="preserve"> [1]</w:t>
      </w:r>
      <w:r>
        <w:t xml:space="preserve">. </w:t>
      </w:r>
      <w:r w:rsidR="00CC54C8">
        <w:t>Up to four authors should be listed; more than four</w:t>
      </w:r>
      <w:r w:rsidR="00A54231">
        <w:t>,</w:t>
      </w:r>
      <w:r w:rsidR="00CC54C8">
        <w:t xml:space="preserve"> et al. should be used after the fourth author is listed. </w:t>
      </w:r>
      <w:r>
        <w:t xml:space="preserve">Refer to the SAE Technical Paper Style Guide for formatting of different types of references. </w:t>
      </w:r>
      <w:r w:rsidR="002C6C40">
        <w:t xml:space="preserve">Apply the List-Ordered-Numeric style tag to format references. </w:t>
      </w:r>
      <w:r>
        <w:t>Below are some examples.</w:t>
      </w:r>
    </w:p>
    <w:p w14:paraId="3431BDDC" w14:textId="77777777" w:rsidR="000E4E44" w:rsidRDefault="000E4E44" w:rsidP="000E4E44">
      <w:pPr>
        <w:pStyle w:val="List-Ordered-Numeric"/>
      </w:pPr>
      <w:r w:rsidRPr="000E4E44">
        <w:t>Guo, Q. and Liu, B., "Simulation and Physical Measurement of Seamless Passenger Airbag Door Deployment," SAE Technical Paper 2012-01-0082, 2012</w:t>
      </w:r>
      <w:r w:rsidR="006155E9">
        <w:t xml:space="preserve">, </w:t>
      </w:r>
      <w:r w:rsidR="006155E9" w:rsidRPr="002F1E37">
        <w:t>doi:</w:t>
      </w:r>
      <w:r w:rsidR="006155E9" w:rsidRPr="002F5464">
        <w:rPr>
          <w:u w:val="single"/>
        </w:rPr>
        <w:t>10.4271/2012-01-0082</w:t>
      </w:r>
      <w:r w:rsidRPr="000E4E44">
        <w:t>.</w:t>
      </w:r>
    </w:p>
    <w:p w14:paraId="734D6148" w14:textId="77777777" w:rsidR="000E4E44" w:rsidRDefault="000E4E44" w:rsidP="000E4E44">
      <w:pPr>
        <w:pStyle w:val="List-Ordered-Numeric"/>
      </w:pPr>
      <w:r w:rsidRPr="000E4E44">
        <w:t>Kunkel, S., Zimmer, T., and Wachtmeister, G., "Friction Analysis of Oil Control Rings during Running-In," SAE Technical Paper 2011-01-2428, 2012</w:t>
      </w:r>
      <w:r w:rsidRPr="002F1E37">
        <w:t>, doi:</w:t>
      </w:r>
      <w:r w:rsidRPr="002F5464">
        <w:rPr>
          <w:u w:val="single"/>
        </w:rPr>
        <w:t>10.4271/2011-01-2428</w:t>
      </w:r>
      <w:r w:rsidRPr="000E4E44">
        <w:t>.</w:t>
      </w:r>
    </w:p>
    <w:p w14:paraId="7A9A087B" w14:textId="77777777" w:rsidR="000E4E44" w:rsidRDefault="000E4E44" w:rsidP="000E4E44">
      <w:pPr>
        <w:pStyle w:val="List-Ordered-Numeric"/>
      </w:pPr>
      <w:r w:rsidRPr="000E4E44">
        <w:t>Morgan, R., Scullion, P., Nix, L., Kan, C. et al., "Injury Risk Investigation of the Small, Rear-seat Occupant in Side Impact," SAE Technical Paper 2012-01-0092, 2012</w:t>
      </w:r>
      <w:r w:rsidR="00236AC8">
        <w:t>, doi:</w:t>
      </w:r>
      <w:r w:rsidR="00236AC8" w:rsidRPr="002F5464">
        <w:rPr>
          <w:u w:val="single"/>
        </w:rPr>
        <w:t>10.4271/2012-01-0092</w:t>
      </w:r>
      <w:r w:rsidRPr="002F5464">
        <w:t>.</w:t>
      </w:r>
    </w:p>
    <w:p w14:paraId="0244444F" w14:textId="77777777" w:rsidR="00824BDB" w:rsidRPr="00824BDB" w:rsidRDefault="00824BDB" w:rsidP="00FC30DF">
      <w:pPr>
        <w:pStyle w:val="List-Ordered-Numeric"/>
      </w:pPr>
      <w:r w:rsidRPr="00824BDB">
        <w:t xml:space="preserve">Kimura, Y. and Murakami, M., "Analysis of Piston Friction - Effects of Cylinder Bore Temperature Distribution and Oil Temperature," </w:t>
      </w:r>
      <w:r w:rsidRPr="00FC30DF">
        <w:rPr>
          <w:i/>
        </w:rPr>
        <w:t xml:space="preserve">SAE Int. J. Fuels </w:t>
      </w:r>
      <w:proofErr w:type="spellStart"/>
      <w:r w:rsidRPr="00FC30DF">
        <w:rPr>
          <w:i/>
        </w:rPr>
        <w:t>Lubr</w:t>
      </w:r>
      <w:proofErr w:type="spellEnd"/>
      <w:r w:rsidRPr="00FC30DF">
        <w:rPr>
          <w:i/>
        </w:rPr>
        <w:t>.</w:t>
      </w:r>
      <w:r w:rsidRPr="00824BDB">
        <w:t xml:space="preserve"> 5(1):1-6, 2012, </w:t>
      </w:r>
      <w:r w:rsidRPr="002F1E37">
        <w:t>doi:</w:t>
      </w:r>
      <w:r w:rsidRPr="002F5464">
        <w:t>10.4271/2011-01-1746.</w:t>
      </w:r>
    </w:p>
    <w:p w14:paraId="0FFD344A" w14:textId="77777777" w:rsidR="00D328BE" w:rsidRPr="006155E9" w:rsidRDefault="00FA2863" w:rsidP="00D328BE">
      <w:pPr>
        <w:pStyle w:val="List-Ordered-Numeric"/>
      </w:pPr>
      <w:r w:rsidRPr="006155E9">
        <w:t>SAE International Surface Vehicle Recommended Practice, “Laboratory Measurement of the Composite Vibration Damping Properties of Material on a Supporting Steel Bar,” SAE Standard J1637, Rev. Aug. 2007.</w:t>
      </w:r>
    </w:p>
    <w:p w14:paraId="7E089DB2" w14:textId="77777777" w:rsidR="000B1A31" w:rsidRPr="00F61475" w:rsidRDefault="000B1A31" w:rsidP="000B1A31">
      <w:pPr>
        <w:jc w:val="both"/>
        <w:rPr>
          <w:rFonts w:eastAsia="宋体"/>
          <w:b/>
          <w:bCs/>
          <w:color w:val="EE0000"/>
          <w:sz w:val="20"/>
          <w:szCs w:val="20"/>
          <w:lang w:eastAsia="zh-CN"/>
        </w:rPr>
      </w:pPr>
      <w:bookmarkStart w:id="1" w:name="OLE_LINK2"/>
      <w:bookmarkStart w:id="2" w:name="OLE_LINK5"/>
      <w:r w:rsidRPr="00F61475">
        <w:rPr>
          <w:rFonts w:eastAsia="宋体"/>
          <w:b/>
          <w:bCs/>
          <w:color w:val="EE0000"/>
          <w:sz w:val="20"/>
          <w:szCs w:val="20"/>
        </w:rPr>
        <w:t>Declaration</w:t>
      </w:r>
      <w:bookmarkEnd w:id="1"/>
      <w:r w:rsidRPr="00F61475">
        <w:rPr>
          <w:rFonts w:eastAsia="宋体"/>
          <w:b/>
          <w:bCs/>
          <w:color w:val="EE0000"/>
          <w:sz w:val="20"/>
          <w:szCs w:val="20"/>
        </w:rPr>
        <w:t xml:space="preserve"> of AI-Assisted Technologies</w:t>
      </w:r>
      <w:bookmarkEnd w:id="2"/>
      <w:r w:rsidRPr="00F61475">
        <w:rPr>
          <w:rFonts w:eastAsia="宋体" w:hint="eastAsia"/>
          <w:b/>
          <w:bCs/>
          <w:color w:val="EE0000"/>
          <w:sz w:val="20"/>
          <w:szCs w:val="20"/>
          <w:lang w:eastAsia="zh-CN"/>
        </w:rPr>
        <w:t xml:space="preserve"> (</w:t>
      </w:r>
      <w:r w:rsidRPr="00F61475">
        <w:rPr>
          <w:rFonts w:eastAsia="宋体"/>
          <w:b/>
          <w:bCs/>
          <w:color w:val="EE0000"/>
          <w:sz w:val="20"/>
          <w:szCs w:val="20"/>
          <w:lang w:eastAsia="zh-CN"/>
        </w:rPr>
        <w:t xml:space="preserve">AI rate &gt; 15% and </w:t>
      </w:r>
      <w:r w:rsidRPr="009F59EF">
        <w:rPr>
          <w:rFonts w:eastAsia="宋体"/>
          <w:b/>
          <w:bCs/>
          <w:color w:val="EE0000"/>
          <w:sz w:val="20"/>
          <w:szCs w:val="20"/>
          <w:lang w:eastAsia="zh-CN"/>
        </w:rPr>
        <w:t>&lt;</w:t>
      </w:r>
      <w:r w:rsidRPr="00F61475">
        <w:rPr>
          <w:rFonts w:eastAsia="宋体"/>
          <w:b/>
          <w:bCs/>
          <w:color w:val="EE0000"/>
          <w:sz w:val="20"/>
          <w:szCs w:val="20"/>
          <w:lang w:eastAsia="zh-CN"/>
        </w:rPr>
        <w:t xml:space="preserve"> </w:t>
      </w:r>
      <w:r>
        <w:rPr>
          <w:rFonts w:eastAsia="宋体" w:hint="eastAsia"/>
          <w:b/>
          <w:bCs/>
          <w:color w:val="EE0000"/>
          <w:sz w:val="20"/>
          <w:szCs w:val="20"/>
          <w:lang w:eastAsia="zh-CN"/>
        </w:rPr>
        <w:t>4</w:t>
      </w:r>
      <w:r w:rsidRPr="00F61475">
        <w:rPr>
          <w:rFonts w:eastAsia="宋体"/>
          <w:b/>
          <w:bCs/>
          <w:color w:val="EE0000"/>
          <w:sz w:val="20"/>
          <w:szCs w:val="20"/>
          <w:lang w:eastAsia="zh-CN"/>
        </w:rPr>
        <w:t>0%</w:t>
      </w:r>
      <w:r w:rsidRPr="00F61475">
        <w:rPr>
          <w:rFonts w:eastAsia="宋体" w:hint="eastAsia"/>
          <w:b/>
          <w:bCs/>
          <w:color w:val="EE0000"/>
          <w:sz w:val="20"/>
          <w:szCs w:val="20"/>
          <w:lang w:eastAsia="zh-CN"/>
        </w:rPr>
        <w:t>)</w:t>
      </w:r>
    </w:p>
    <w:p w14:paraId="2B96BB1D" w14:textId="77777777" w:rsidR="000B1A31" w:rsidRPr="001F3482" w:rsidRDefault="000B1A31" w:rsidP="000B1A31">
      <w:pPr>
        <w:jc w:val="both"/>
        <w:rPr>
          <w:color w:val="EE0000"/>
          <w:lang w:eastAsia="zh-CN"/>
        </w:rPr>
      </w:pPr>
      <w:r>
        <w:rPr>
          <w:rFonts w:hint="eastAsia"/>
          <w:color w:val="EE0000"/>
          <w:lang w:eastAsia="zh-CN"/>
        </w:rPr>
        <w:t xml:space="preserve">1) </w:t>
      </w:r>
      <w:bookmarkStart w:id="3" w:name="OLE_LINK3"/>
      <w:r w:rsidRPr="001F3482">
        <w:rPr>
          <w:color w:val="EE0000"/>
          <w:lang w:eastAsia="zh-CN"/>
        </w:rPr>
        <w:t>The authors declare that no AI-assisted technologies were used in the writing of this manuscript, and they take full responsibility for the content of the paper.</w:t>
      </w:r>
      <w:bookmarkEnd w:id="3"/>
    </w:p>
    <w:p w14:paraId="50950E57" w14:textId="77777777" w:rsidR="000B1A31" w:rsidRPr="00F61475" w:rsidRDefault="000B1A31" w:rsidP="000B1A31">
      <w:pPr>
        <w:jc w:val="both"/>
        <w:rPr>
          <w:color w:val="EE0000"/>
          <w:lang w:eastAsia="zh-CN"/>
        </w:rPr>
      </w:pPr>
      <w:r>
        <w:rPr>
          <w:rFonts w:hint="eastAsia"/>
          <w:color w:val="EE0000"/>
          <w:lang w:eastAsia="zh-CN"/>
        </w:rPr>
        <w:t xml:space="preserve">2) </w:t>
      </w:r>
      <w:r w:rsidRPr="00F61475">
        <w:rPr>
          <w:color w:val="EE0000"/>
          <w:lang w:eastAsia="zh-CN"/>
        </w:rPr>
        <w:t>The author discloses that [TOOL NAME] was used for [PURPOSE]. The author has reviewed and edited all content as needed and takes full responsibility for the scientific integrity and authenticity of this article.</w:t>
      </w:r>
    </w:p>
    <w:p w14:paraId="01541266" w14:textId="77777777" w:rsidR="000B1A31" w:rsidRPr="00F61475" w:rsidRDefault="000B1A31" w:rsidP="000B1A31">
      <w:pPr>
        <w:jc w:val="both"/>
        <w:rPr>
          <w:rFonts w:eastAsia="宋体"/>
          <w:b/>
          <w:bCs/>
          <w:color w:val="EE0000"/>
          <w:sz w:val="20"/>
          <w:szCs w:val="20"/>
          <w:lang w:eastAsia="zh-CN"/>
        </w:rPr>
      </w:pPr>
      <w:r w:rsidRPr="00F61475">
        <w:rPr>
          <w:rFonts w:eastAsia="宋体"/>
          <w:b/>
          <w:bCs/>
          <w:color w:val="EE0000"/>
          <w:sz w:val="20"/>
          <w:szCs w:val="20"/>
        </w:rPr>
        <w:t>Declaration of AI-Assisted Technologies</w:t>
      </w:r>
      <w:r w:rsidRPr="00F61475">
        <w:rPr>
          <w:rFonts w:eastAsia="宋体" w:hint="eastAsia"/>
          <w:b/>
          <w:bCs/>
          <w:color w:val="EE0000"/>
          <w:sz w:val="20"/>
          <w:szCs w:val="20"/>
          <w:lang w:eastAsia="zh-CN"/>
        </w:rPr>
        <w:t xml:space="preserve"> (</w:t>
      </w:r>
      <w:r w:rsidRPr="00F61475">
        <w:rPr>
          <w:rFonts w:eastAsia="宋体"/>
          <w:b/>
          <w:bCs/>
          <w:color w:val="EE0000"/>
          <w:sz w:val="20"/>
          <w:szCs w:val="20"/>
          <w:lang w:eastAsia="zh-CN"/>
        </w:rPr>
        <w:t>Only language polishing and translation.</w:t>
      </w:r>
      <w:r>
        <w:rPr>
          <w:rFonts w:eastAsia="宋体" w:hint="eastAsia"/>
          <w:b/>
          <w:bCs/>
          <w:color w:val="EE0000"/>
          <w:sz w:val="20"/>
          <w:szCs w:val="20"/>
          <w:lang w:eastAsia="zh-CN"/>
        </w:rPr>
        <w:t xml:space="preserve"> **</w:t>
      </w:r>
      <w:r w:rsidRPr="001F3482">
        <w:rPr>
          <w:rFonts w:eastAsia="宋体"/>
          <w:b/>
          <w:bCs/>
          <w:color w:val="EE0000"/>
          <w:sz w:val="20"/>
          <w:szCs w:val="20"/>
          <w:lang w:eastAsia="zh-CN"/>
        </w:rPr>
        <w:t xml:space="preserve"> </w:t>
      </w:r>
      <w:r w:rsidRPr="00F61475">
        <w:rPr>
          <w:rFonts w:eastAsia="宋体"/>
          <w:b/>
          <w:bCs/>
          <w:color w:val="EE0000"/>
          <w:sz w:val="20"/>
          <w:szCs w:val="20"/>
          <w:lang w:eastAsia="zh-CN"/>
        </w:rPr>
        <w:t xml:space="preserve">AI rate </w:t>
      </w:r>
      <w:r w:rsidRPr="009F59EF">
        <w:rPr>
          <w:rFonts w:eastAsia="宋体"/>
          <w:b/>
          <w:bCs/>
          <w:color w:val="EE0000"/>
          <w:sz w:val="20"/>
          <w:szCs w:val="20"/>
          <w:lang w:eastAsia="zh-CN"/>
        </w:rPr>
        <w:t>&lt;</w:t>
      </w:r>
      <w:r w:rsidRPr="00F61475">
        <w:rPr>
          <w:rFonts w:eastAsia="宋体"/>
          <w:b/>
          <w:bCs/>
          <w:color w:val="EE0000"/>
          <w:sz w:val="20"/>
          <w:szCs w:val="20"/>
          <w:lang w:eastAsia="zh-CN"/>
        </w:rPr>
        <w:t xml:space="preserve"> </w:t>
      </w:r>
      <w:r>
        <w:rPr>
          <w:rFonts w:eastAsia="宋体" w:hint="eastAsia"/>
          <w:b/>
          <w:bCs/>
          <w:color w:val="EE0000"/>
          <w:sz w:val="20"/>
          <w:szCs w:val="20"/>
          <w:lang w:eastAsia="zh-CN"/>
        </w:rPr>
        <w:t>40</w:t>
      </w:r>
      <w:r w:rsidRPr="00F61475">
        <w:rPr>
          <w:rFonts w:eastAsia="宋体"/>
          <w:b/>
          <w:bCs/>
          <w:color w:val="EE0000"/>
          <w:sz w:val="20"/>
          <w:szCs w:val="20"/>
          <w:lang w:eastAsia="zh-CN"/>
        </w:rPr>
        <w:t>%</w:t>
      </w:r>
      <w:r w:rsidRPr="00F61475">
        <w:rPr>
          <w:rFonts w:eastAsia="宋体" w:hint="eastAsia"/>
          <w:b/>
          <w:bCs/>
          <w:color w:val="EE0000"/>
          <w:sz w:val="20"/>
          <w:szCs w:val="20"/>
          <w:lang w:eastAsia="zh-CN"/>
        </w:rPr>
        <w:t>)</w:t>
      </w:r>
    </w:p>
    <w:p w14:paraId="11529106" w14:textId="77777777" w:rsidR="000B1A31" w:rsidRDefault="000B1A31" w:rsidP="000B1A31">
      <w:pPr>
        <w:jc w:val="both"/>
        <w:rPr>
          <w:color w:val="EE0000"/>
          <w:lang w:eastAsia="zh-CN"/>
        </w:rPr>
      </w:pPr>
      <w:r w:rsidRPr="00F61475">
        <w:rPr>
          <w:color w:val="EE0000"/>
          <w:lang w:eastAsia="zh-CN"/>
        </w:rPr>
        <w:t>During the writing of this manuscript, the author used AI tools during the Chinese-to-English translation process and for checking grammar. The authors take full responsibility for the use of these tools and take full responsibility for the content of the paper.</w:t>
      </w:r>
    </w:p>
    <w:p w14:paraId="7E8CE3B5" w14:textId="7088FDC1" w:rsidR="000B1A31" w:rsidRDefault="000B1A31" w:rsidP="000B1A31">
      <w:r w:rsidRPr="009F59EF">
        <w:rPr>
          <w:rFonts w:hint="eastAsia"/>
          <w:b/>
          <w:bCs/>
          <w:color w:val="EE0000"/>
          <w:highlight w:val="yellow"/>
          <w:lang w:eastAsia="zh-CN"/>
        </w:rPr>
        <w:t xml:space="preserve">Note: </w:t>
      </w:r>
      <w:r w:rsidRPr="009F59EF">
        <w:rPr>
          <w:b/>
          <w:bCs/>
          <w:color w:val="EE0000"/>
          <w:highlight w:val="yellow"/>
          <w:lang w:eastAsia="zh-CN"/>
        </w:rPr>
        <w:t>Any manuscript with an AI rate exceeding 50% will be rejected outright, with no exceptions accepted under any circumstances.</w:t>
      </w:r>
    </w:p>
    <w:p w14:paraId="7FCBA717" w14:textId="11A83F31" w:rsidR="00B01FCD" w:rsidRDefault="00B01FCD" w:rsidP="0088184E">
      <w:pPr>
        <w:pStyle w:val="Head1"/>
      </w:pPr>
      <w:r>
        <w:t>C</w:t>
      </w:r>
      <w:r w:rsidR="002C6C40">
        <w:t>ontact Information</w:t>
      </w:r>
    </w:p>
    <w:p w14:paraId="42D614A4" w14:textId="77777777" w:rsidR="006155E9" w:rsidRDefault="003734A5" w:rsidP="006155E9">
      <w:bookmarkStart w:id="4" w:name="OLE_LINK4"/>
      <w:r>
        <w:t>Contact details for the main author should be include</w:t>
      </w:r>
      <w:r w:rsidR="00466818">
        <w:t>d</w:t>
      </w:r>
      <w:r>
        <w:t xml:space="preserve"> here. Details may include mailing address, email address, and/or telephone number (whichever is deemed appropriate).</w:t>
      </w:r>
    </w:p>
    <w:bookmarkEnd w:id="4"/>
    <w:p w14:paraId="29E2B803" w14:textId="77777777" w:rsidR="001E0A92" w:rsidRDefault="001E0A92" w:rsidP="001E0A92">
      <w:pPr>
        <w:pStyle w:val="Head1"/>
      </w:pPr>
      <w:r w:rsidRPr="00E37DC5">
        <w:t>Acknowledgments</w:t>
      </w:r>
    </w:p>
    <w:p w14:paraId="79BA1C29" w14:textId="77777777" w:rsidR="007959D7" w:rsidRDefault="007959D7" w:rsidP="007959D7">
      <w:r>
        <w:t>If the Acknowledgments section is not wanted, delete this heading and text.</w:t>
      </w:r>
    </w:p>
    <w:p w14:paraId="425AC639" w14:textId="7EA1BF1A" w:rsidR="009F59EF" w:rsidRPr="009F59EF" w:rsidRDefault="009F59EF" w:rsidP="00F61475">
      <w:pPr>
        <w:jc w:val="both"/>
        <w:rPr>
          <w:b/>
          <w:bCs/>
          <w:color w:val="EE0000"/>
          <w:lang w:eastAsia="zh-CN"/>
        </w:rPr>
      </w:pPr>
    </w:p>
    <w:p w14:paraId="73D73F43" w14:textId="77777777" w:rsidR="00B01FCD" w:rsidRDefault="001E0A92" w:rsidP="009E7CF2">
      <w:pPr>
        <w:pStyle w:val="Head1"/>
      </w:pPr>
      <w:r>
        <w:t>Definition</w:t>
      </w:r>
      <w:r w:rsidR="002C6C40">
        <w:t>s</w:t>
      </w:r>
      <w:r>
        <w:t>/Abbreviation</w:t>
      </w:r>
      <w:r w:rsidR="002C6C40">
        <w:t>s</w:t>
      </w:r>
    </w:p>
    <w:tbl>
      <w:tblPr>
        <w:tblStyle w:val="BorderlessTable"/>
        <w:tblW w:w="5148" w:type="dxa"/>
        <w:tblLook w:val="01E0" w:firstRow="1" w:lastRow="1" w:firstColumn="1" w:lastColumn="1" w:noHBand="0" w:noVBand="0"/>
      </w:tblPr>
      <w:tblGrid>
        <w:gridCol w:w="1368"/>
        <w:gridCol w:w="3780"/>
      </w:tblGrid>
      <w:tr w:rsidR="008C19F5" w:rsidRPr="00BA647B" w14:paraId="31AF1298" w14:textId="77777777" w:rsidTr="00DF2BB2">
        <w:tc>
          <w:tcPr>
            <w:tcW w:w="1368" w:type="dxa"/>
          </w:tcPr>
          <w:p w14:paraId="23A2DC9C" w14:textId="77777777" w:rsidR="008C19F5" w:rsidRPr="00BA647B" w:rsidRDefault="008C19F5" w:rsidP="00DF2BB2">
            <w:pPr>
              <w:pStyle w:val="DefinitionTerm"/>
            </w:pPr>
            <w:r>
              <w:t>SA</w:t>
            </w:r>
          </w:p>
        </w:tc>
        <w:tc>
          <w:tcPr>
            <w:tcW w:w="3780" w:type="dxa"/>
          </w:tcPr>
          <w:p w14:paraId="39F61C79" w14:textId="77777777" w:rsidR="008C19F5" w:rsidRPr="00BA647B" w:rsidRDefault="008C19F5" w:rsidP="00CA09F0">
            <w:pPr>
              <w:pStyle w:val="Definition"/>
            </w:pPr>
            <w:r>
              <w:t>sample abbreviations</w:t>
            </w:r>
          </w:p>
        </w:tc>
      </w:tr>
      <w:tr w:rsidR="008C19F5" w:rsidRPr="00BA647B" w14:paraId="5D77B933" w14:textId="77777777" w:rsidTr="00DF2BB2">
        <w:tc>
          <w:tcPr>
            <w:tcW w:w="1368" w:type="dxa"/>
          </w:tcPr>
          <w:p w14:paraId="24691362" w14:textId="77777777" w:rsidR="008C19F5" w:rsidRPr="00BA647B" w:rsidRDefault="008C19F5" w:rsidP="00DF2BB2">
            <w:pPr>
              <w:pStyle w:val="DefinitionTerm"/>
            </w:pPr>
            <w:r>
              <w:t>UBT</w:t>
            </w:r>
          </w:p>
        </w:tc>
        <w:tc>
          <w:tcPr>
            <w:tcW w:w="3780" w:type="dxa"/>
          </w:tcPr>
          <w:p w14:paraId="6E1958FC" w14:textId="77777777" w:rsidR="008C19F5" w:rsidRPr="00BA647B" w:rsidRDefault="005B6432" w:rsidP="00CA09F0">
            <w:pPr>
              <w:pStyle w:val="Definition"/>
            </w:pPr>
            <w:r>
              <w:t>U</w:t>
            </w:r>
            <w:r w:rsidR="008C19F5">
              <w:t>se borderless table ≤ 3.5 inches wide</w:t>
            </w:r>
            <w:r>
              <w:t>.</w:t>
            </w:r>
          </w:p>
        </w:tc>
      </w:tr>
      <w:tr w:rsidR="00CD7086" w:rsidRPr="00BA647B" w14:paraId="7195A958" w14:textId="77777777" w:rsidTr="00DF2BB2">
        <w:tc>
          <w:tcPr>
            <w:tcW w:w="1368" w:type="dxa"/>
          </w:tcPr>
          <w:p w14:paraId="5508CAE5" w14:textId="77777777" w:rsidR="00CD7086" w:rsidRDefault="00CD7086" w:rsidP="00DF2BB2">
            <w:pPr>
              <w:pStyle w:val="DefinitionTerm"/>
            </w:pPr>
            <w:r>
              <w:t>test vector</w:t>
            </w:r>
          </w:p>
        </w:tc>
        <w:tc>
          <w:tcPr>
            <w:tcW w:w="3780" w:type="dxa"/>
          </w:tcPr>
          <w:p w14:paraId="4D5C8636" w14:textId="77777777" w:rsidR="002B1648" w:rsidRPr="002B1648" w:rsidRDefault="00CA09F0" w:rsidP="00CA09F0">
            <w:pPr>
              <w:pStyle w:val="Definition"/>
            </w:pPr>
            <w:r>
              <w:t>D</w:t>
            </w:r>
            <w:r w:rsidR="00CD7086">
              <w:t>on</w:t>
            </w:r>
            <w:r>
              <w:t>’</w:t>
            </w:r>
            <w:r w:rsidR="00CD7086">
              <w:t>t capitalize term unless an acronym</w:t>
            </w:r>
            <w:r w:rsidR="00DF2BB2">
              <w:t xml:space="preserve"> or proper noun</w:t>
            </w:r>
            <w:r w:rsidR="005B6432">
              <w:t>.</w:t>
            </w:r>
          </w:p>
        </w:tc>
      </w:tr>
    </w:tbl>
    <w:p w14:paraId="158E8C1C" w14:textId="77777777" w:rsidR="00CA09F0" w:rsidRDefault="00CA09F0" w:rsidP="00C511C8">
      <w:pPr>
        <w:pStyle w:val="Author"/>
      </w:pPr>
    </w:p>
    <w:p w14:paraId="18A1BA75" w14:textId="77777777" w:rsidR="00CA09F0" w:rsidRDefault="00CA09F0" w:rsidP="00C511C8">
      <w:pPr>
        <w:pStyle w:val="Author"/>
      </w:pPr>
    </w:p>
    <w:p w14:paraId="0F7ADB65" w14:textId="77777777" w:rsidR="00CA09F0" w:rsidRDefault="00CA09F0" w:rsidP="00C511C8">
      <w:pPr>
        <w:pStyle w:val="Author"/>
      </w:pPr>
    </w:p>
    <w:p w14:paraId="773F70B4" w14:textId="77777777" w:rsidR="00CA09F0" w:rsidRDefault="00CA09F0" w:rsidP="00C511C8">
      <w:pPr>
        <w:pStyle w:val="Author"/>
      </w:pPr>
    </w:p>
    <w:p w14:paraId="57D3A060" w14:textId="77777777" w:rsidR="00CA09F0" w:rsidRDefault="00CA09F0" w:rsidP="00C511C8">
      <w:pPr>
        <w:pStyle w:val="Author"/>
      </w:pPr>
    </w:p>
    <w:p w14:paraId="6CBC6DCC" w14:textId="77777777" w:rsidR="00CA09F0" w:rsidRDefault="00CA09F0" w:rsidP="00C511C8">
      <w:pPr>
        <w:pStyle w:val="Author"/>
      </w:pPr>
    </w:p>
    <w:p w14:paraId="13CD0CAB" w14:textId="77777777" w:rsidR="00CA09F0" w:rsidRDefault="00CA09F0" w:rsidP="00C511C8">
      <w:pPr>
        <w:pStyle w:val="Author"/>
      </w:pPr>
    </w:p>
    <w:p w14:paraId="3C6BC2C7" w14:textId="77777777" w:rsidR="00C511C8" w:rsidRDefault="00C511C8" w:rsidP="00C511C8">
      <w:pPr>
        <w:pStyle w:val="Author"/>
        <w:rPr>
          <w:szCs w:val="28"/>
        </w:rPr>
      </w:pPr>
      <w:r>
        <w:br w:type="page"/>
      </w:r>
    </w:p>
    <w:p w14:paraId="0D1C3126" w14:textId="77777777" w:rsidR="00C511C8" w:rsidRDefault="00C511C8" w:rsidP="00E20066">
      <w:pPr>
        <w:pStyle w:val="Head1"/>
        <w:sectPr w:rsidR="00C511C8" w:rsidSect="006009F0">
          <w:type w:val="continuous"/>
          <w:pgSz w:w="12240" w:h="15840"/>
          <w:pgMar w:top="720" w:right="720" w:bottom="720" w:left="720" w:header="720" w:footer="720" w:gutter="0"/>
          <w:cols w:num="2" w:space="720"/>
          <w:docGrid w:linePitch="360"/>
        </w:sectPr>
      </w:pPr>
    </w:p>
    <w:p w14:paraId="0D964504" w14:textId="77777777" w:rsidR="00E21ADE" w:rsidRDefault="00B01FCD" w:rsidP="00E20066">
      <w:pPr>
        <w:pStyle w:val="Head1"/>
      </w:pPr>
      <w:r>
        <w:t>A</w:t>
      </w:r>
      <w:r w:rsidR="002C6C40">
        <w:t>ppendix</w:t>
      </w:r>
    </w:p>
    <w:p w14:paraId="58E2657F" w14:textId="77777777" w:rsidR="00D3332D" w:rsidRDefault="006009F0" w:rsidP="006009F0">
      <w:r>
        <w:t>The Appendix is one-column</w:t>
      </w:r>
      <w:r w:rsidR="007F70DE">
        <w:t xml:space="preserve">. </w:t>
      </w:r>
      <w:r>
        <w:t>If you have an appendix in your document, you will need to insert a continuous page break and set the columns to one</w:t>
      </w:r>
      <w:r w:rsidR="007F70DE">
        <w:t xml:space="preserve">. </w:t>
      </w:r>
      <w:r>
        <w:t>If you do not have an appendix in your document, this paragraph can be ignored</w:t>
      </w:r>
      <w:r w:rsidR="00CD7086">
        <w:t xml:space="preserve"> and the heading </w:t>
      </w:r>
      <w:r w:rsidR="00C511C8">
        <w:t xml:space="preserve">and section break </w:t>
      </w:r>
      <w:r w:rsidR="00CD7086">
        <w:t>deleted</w:t>
      </w:r>
      <w:r>
        <w:t>.</w:t>
      </w:r>
    </w:p>
    <w:p w14:paraId="0EA1FC7E" w14:textId="77777777" w:rsidR="004606E3" w:rsidRPr="004606E3" w:rsidRDefault="004606E3" w:rsidP="004606E3"/>
    <w:p w14:paraId="67FB4FCA" w14:textId="77777777" w:rsidR="004606E3" w:rsidRPr="004606E3" w:rsidRDefault="004606E3" w:rsidP="004606E3">
      <w:pPr>
        <w:rPr>
          <w:lang w:eastAsia="zh-CN"/>
        </w:rPr>
      </w:pPr>
    </w:p>
    <w:p w14:paraId="7F8D5FE9" w14:textId="0CB703CB" w:rsidR="004606E3" w:rsidRPr="004606E3" w:rsidRDefault="004606E3" w:rsidP="004606E3">
      <w:r>
        <w:t>________________________________________________________________________________________________________________________</w:t>
      </w:r>
    </w:p>
    <w:p w14:paraId="39C7FC9A" w14:textId="77777777" w:rsidR="006F1CAF" w:rsidRPr="00347D34" w:rsidRDefault="004606E3" w:rsidP="004606E3">
      <w:pPr>
        <w:rPr>
          <w:lang w:eastAsia="zh-CN"/>
        </w:rPr>
      </w:pPr>
      <w:r w:rsidRPr="004606E3">
        <w:t xml:space="preserve">© </w:t>
      </w:r>
      <w:r w:rsidRPr="00347D34">
        <w:t>20</w:t>
      </w:r>
      <w:r w:rsidR="003F2CA2" w:rsidRPr="00347D34">
        <w:t>XX</w:t>
      </w:r>
      <w:r w:rsidRPr="00347D34">
        <w:t xml:space="preserve"> SAE International. All rights reserved. No part of this publication may be reproduced, stored in a retrieval system, transmitted, in any form or by any means, electronic, mechanical, photocopying, recording, or otherwise, or used for text and data mining, AI training, or similar technologies, </w:t>
      </w:r>
      <w:r w:rsidRPr="00347D34">
        <w:lastRenderedPageBreak/>
        <w:t xml:space="preserve">without the prior written permission of SAE. Positions and opinions advanced in this work are those of the author(s) and not necessarily those of SAE International. Responsibility for the content of the work lies solely with the author(s). </w:t>
      </w:r>
    </w:p>
    <w:p w14:paraId="74DA5394" w14:textId="17B299EE" w:rsidR="004606E3" w:rsidRDefault="006F1CAF" w:rsidP="004606E3">
      <w:r w:rsidRPr="00347D34">
        <w:t>Paper presented at Conference Full Name, City, China, June 6-9, 2025.</w:t>
      </w:r>
    </w:p>
    <w:p w14:paraId="28945AB3" w14:textId="6C78E446" w:rsidR="004606E3" w:rsidRPr="004606E3" w:rsidRDefault="004606E3" w:rsidP="004606E3">
      <w:r w:rsidRPr="004606E3">
        <w:t>ISSN 0148-7191</w:t>
      </w:r>
    </w:p>
    <w:sectPr w:rsidR="004606E3" w:rsidRPr="004606E3" w:rsidSect="00C511C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DAE9" w14:textId="77777777" w:rsidR="001B6648" w:rsidRDefault="001B6648" w:rsidP="00A418D3">
      <w:r>
        <w:separator/>
      </w:r>
    </w:p>
  </w:endnote>
  <w:endnote w:type="continuationSeparator" w:id="0">
    <w:p w14:paraId="7F70B735" w14:textId="77777777" w:rsidR="001B6648" w:rsidRDefault="001B6648" w:rsidP="00A4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AC37" w14:textId="77777777" w:rsidR="00CC54C8" w:rsidRPr="009F7DCB" w:rsidRDefault="00CC54C8" w:rsidP="009F7DCB">
    <w:r w:rsidRPr="009F7DCB">
      <w:fldChar w:fldCharType="begin"/>
    </w:r>
    <w:r w:rsidRPr="009F7DCB">
      <w:instrText xml:space="preserve">PAGE  </w:instrText>
    </w:r>
    <w:r w:rsidRPr="009F7DCB">
      <w:fldChar w:fldCharType="end"/>
    </w:r>
  </w:p>
  <w:p w14:paraId="411BB29E" w14:textId="77777777" w:rsidR="00CC54C8" w:rsidRDefault="00CC54C8" w:rsidP="00C621E9"/>
  <w:p w14:paraId="5EA01BF5" w14:textId="77777777" w:rsidR="00CC54C8" w:rsidRDefault="00CC54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0477"/>
      <w:docPartObj>
        <w:docPartGallery w:val="Page Numbers (Top of Page)"/>
        <w:docPartUnique/>
      </w:docPartObj>
    </w:sdtPr>
    <w:sdtContent>
      <w:p w14:paraId="7D5AC5D1" w14:textId="77777777" w:rsidR="00CC54C8" w:rsidRPr="00BF0C74" w:rsidRDefault="00CC54C8" w:rsidP="004676DD">
        <w:r w:rsidRPr="00BF0C74">
          <w:t xml:space="preserve">Page </w:t>
        </w:r>
        <w:r>
          <w:fldChar w:fldCharType="begin"/>
        </w:r>
        <w:r>
          <w:instrText xml:space="preserve"> PAGE </w:instrText>
        </w:r>
        <w:r>
          <w:fldChar w:fldCharType="separate"/>
        </w:r>
        <w:r w:rsidR="005675E1">
          <w:rPr>
            <w:noProof/>
          </w:rPr>
          <w:t>2</w:t>
        </w:r>
        <w:r>
          <w:rPr>
            <w:noProof/>
          </w:rPr>
          <w:fldChar w:fldCharType="end"/>
        </w:r>
        <w:r w:rsidRPr="00BF0C74">
          <w:t xml:space="preserve"> of </w:t>
        </w:r>
        <w:r w:rsidR="005675E1">
          <w:fldChar w:fldCharType="begin"/>
        </w:r>
        <w:r w:rsidR="005675E1">
          <w:instrText xml:space="preserve"> NUMPAGES  </w:instrText>
        </w:r>
        <w:r w:rsidR="005675E1">
          <w:fldChar w:fldCharType="separate"/>
        </w:r>
        <w:r w:rsidR="005675E1">
          <w:rPr>
            <w:noProof/>
          </w:rPr>
          <w:t>3</w:t>
        </w:r>
        <w:r w:rsidR="005675E1">
          <w:rPr>
            <w:noProof/>
          </w:rPr>
          <w:fldChar w:fldCharType="end"/>
        </w:r>
      </w:p>
    </w:sdtContent>
  </w:sdt>
  <w:p w14:paraId="1E63E035" w14:textId="5DAC4FCF" w:rsidR="00CC54C8" w:rsidRDefault="00CC54C8" w:rsidP="00A4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31FF" w14:textId="77777777" w:rsidR="001B6648" w:rsidRDefault="001B6648" w:rsidP="00A418D3">
      <w:r>
        <w:separator/>
      </w:r>
    </w:p>
  </w:footnote>
  <w:footnote w:type="continuationSeparator" w:id="0">
    <w:p w14:paraId="34C2CFCC" w14:textId="77777777" w:rsidR="001B6648" w:rsidRDefault="001B6648" w:rsidP="00A4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512"/>
    <w:multiLevelType w:val="multilevel"/>
    <w:tmpl w:val="46CA2122"/>
    <w:lvl w:ilvl="0">
      <w:start w:val="1"/>
      <w:numFmt w:val="decimal"/>
      <w:pStyle w:val="List-Ordered-Numeric"/>
      <w:lvlText w:val="%1."/>
      <w:lvlJc w:val="left"/>
      <w:pPr>
        <w:ind w:left="360" w:hanging="360"/>
      </w:pPr>
      <w:rPr>
        <w:rFonts w:ascii="Times New Roman" w:hAnsi="Times New Roman" w:hint="default"/>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1C1F49"/>
    <w:multiLevelType w:val="hybridMultilevel"/>
    <w:tmpl w:val="F6C698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710341"/>
    <w:multiLevelType w:val="multilevel"/>
    <w:tmpl w:val="1F9E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3461A3"/>
    <w:multiLevelType w:val="hybridMultilevel"/>
    <w:tmpl w:val="63BC7C7C"/>
    <w:lvl w:ilvl="0" w:tplc="38080CD6">
      <w:start w:val="1"/>
      <w:numFmt w:val="bullet"/>
      <w:pStyle w:val="List-Unorder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0098762">
    <w:abstractNumId w:val="3"/>
  </w:num>
  <w:num w:numId="2" w16cid:durableId="1588417648">
    <w:abstractNumId w:val="0"/>
  </w:num>
  <w:num w:numId="3" w16cid:durableId="1713841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99850">
    <w:abstractNumId w:val="1"/>
  </w:num>
  <w:num w:numId="5" w16cid:durableId="26596153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E3"/>
    <w:rsid w:val="00016AD3"/>
    <w:rsid w:val="00025E36"/>
    <w:rsid w:val="0002631D"/>
    <w:rsid w:val="00030174"/>
    <w:rsid w:val="00031728"/>
    <w:rsid w:val="00031B68"/>
    <w:rsid w:val="00035D1B"/>
    <w:rsid w:val="00056067"/>
    <w:rsid w:val="0005744B"/>
    <w:rsid w:val="00060DD2"/>
    <w:rsid w:val="00066663"/>
    <w:rsid w:val="0006755B"/>
    <w:rsid w:val="000808C6"/>
    <w:rsid w:val="000853DD"/>
    <w:rsid w:val="000948CC"/>
    <w:rsid w:val="000A1AA0"/>
    <w:rsid w:val="000A1CA4"/>
    <w:rsid w:val="000A65D3"/>
    <w:rsid w:val="000A7D3D"/>
    <w:rsid w:val="000B1307"/>
    <w:rsid w:val="000B1A31"/>
    <w:rsid w:val="000B759B"/>
    <w:rsid w:val="000C744F"/>
    <w:rsid w:val="000D2A1B"/>
    <w:rsid w:val="000D56B5"/>
    <w:rsid w:val="000E4E44"/>
    <w:rsid w:val="000F51C0"/>
    <w:rsid w:val="0010106B"/>
    <w:rsid w:val="00101168"/>
    <w:rsid w:val="001027A5"/>
    <w:rsid w:val="00104931"/>
    <w:rsid w:val="00112558"/>
    <w:rsid w:val="001137C5"/>
    <w:rsid w:val="00134901"/>
    <w:rsid w:val="0014104B"/>
    <w:rsid w:val="00145F4C"/>
    <w:rsid w:val="00151E0C"/>
    <w:rsid w:val="00176CFC"/>
    <w:rsid w:val="00184623"/>
    <w:rsid w:val="00187F22"/>
    <w:rsid w:val="001B6648"/>
    <w:rsid w:val="001C0F88"/>
    <w:rsid w:val="001D1C28"/>
    <w:rsid w:val="001D2695"/>
    <w:rsid w:val="001D47E6"/>
    <w:rsid w:val="001D6BEA"/>
    <w:rsid w:val="001E0A92"/>
    <w:rsid w:val="001E6FE0"/>
    <w:rsid w:val="001E75DC"/>
    <w:rsid w:val="001F29BF"/>
    <w:rsid w:val="001F2DFC"/>
    <w:rsid w:val="001F3482"/>
    <w:rsid w:val="00200166"/>
    <w:rsid w:val="00217179"/>
    <w:rsid w:val="002249F8"/>
    <w:rsid w:val="0023013F"/>
    <w:rsid w:val="00231F88"/>
    <w:rsid w:val="002355A8"/>
    <w:rsid w:val="00236AC8"/>
    <w:rsid w:val="002459CC"/>
    <w:rsid w:val="00253D84"/>
    <w:rsid w:val="00256CA8"/>
    <w:rsid w:val="00256E10"/>
    <w:rsid w:val="002734A8"/>
    <w:rsid w:val="002741E9"/>
    <w:rsid w:val="00274C68"/>
    <w:rsid w:val="0028144E"/>
    <w:rsid w:val="00283D55"/>
    <w:rsid w:val="00284991"/>
    <w:rsid w:val="00284A18"/>
    <w:rsid w:val="00287395"/>
    <w:rsid w:val="002933F0"/>
    <w:rsid w:val="002A345A"/>
    <w:rsid w:val="002A3DC2"/>
    <w:rsid w:val="002A5788"/>
    <w:rsid w:val="002A76DC"/>
    <w:rsid w:val="002A7A9D"/>
    <w:rsid w:val="002B1648"/>
    <w:rsid w:val="002B23CA"/>
    <w:rsid w:val="002C0024"/>
    <w:rsid w:val="002C0E22"/>
    <w:rsid w:val="002C6C40"/>
    <w:rsid w:val="002C7AB2"/>
    <w:rsid w:val="002D0E56"/>
    <w:rsid w:val="002D3324"/>
    <w:rsid w:val="002D4E1B"/>
    <w:rsid w:val="002D60E0"/>
    <w:rsid w:val="002E0F3C"/>
    <w:rsid w:val="002E2BD5"/>
    <w:rsid w:val="002E4534"/>
    <w:rsid w:val="002F1E37"/>
    <w:rsid w:val="002F41FF"/>
    <w:rsid w:val="002F5464"/>
    <w:rsid w:val="0030027D"/>
    <w:rsid w:val="00310513"/>
    <w:rsid w:val="00313224"/>
    <w:rsid w:val="003177E0"/>
    <w:rsid w:val="00321C96"/>
    <w:rsid w:val="00327F61"/>
    <w:rsid w:val="00336470"/>
    <w:rsid w:val="00341AFC"/>
    <w:rsid w:val="00341FE3"/>
    <w:rsid w:val="00347D34"/>
    <w:rsid w:val="0035590F"/>
    <w:rsid w:val="00366EC9"/>
    <w:rsid w:val="003734A5"/>
    <w:rsid w:val="0037583A"/>
    <w:rsid w:val="003758FD"/>
    <w:rsid w:val="00376708"/>
    <w:rsid w:val="00383FF7"/>
    <w:rsid w:val="00391610"/>
    <w:rsid w:val="003B012B"/>
    <w:rsid w:val="003B2388"/>
    <w:rsid w:val="003C05EF"/>
    <w:rsid w:val="003C1FE8"/>
    <w:rsid w:val="003D0F6E"/>
    <w:rsid w:val="003D3C65"/>
    <w:rsid w:val="003D4FDF"/>
    <w:rsid w:val="003D709D"/>
    <w:rsid w:val="003E1067"/>
    <w:rsid w:val="003F2AAF"/>
    <w:rsid w:val="003F2CA2"/>
    <w:rsid w:val="00404F43"/>
    <w:rsid w:val="00406291"/>
    <w:rsid w:val="0040762F"/>
    <w:rsid w:val="0041682E"/>
    <w:rsid w:val="00420DC9"/>
    <w:rsid w:val="00422A49"/>
    <w:rsid w:val="00422EE9"/>
    <w:rsid w:val="00424C9C"/>
    <w:rsid w:val="004262CE"/>
    <w:rsid w:val="00432A4F"/>
    <w:rsid w:val="00445ACE"/>
    <w:rsid w:val="00451CBA"/>
    <w:rsid w:val="00453333"/>
    <w:rsid w:val="00453FEB"/>
    <w:rsid w:val="004606E3"/>
    <w:rsid w:val="004623C5"/>
    <w:rsid w:val="00466818"/>
    <w:rsid w:val="004676DD"/>
    <w:rsid w:val="00471829"/>
    <w:rsid w:val="00474C22"/>
    <w:rsid w:val="00482161"/>
    <w:rsid w:val="004A14DD"/>
    <w:rsid w:val="004B22FF"/>
    <w:rsid w:val="004C4350"/>
    <w:rsid w:val="004C597E"/>
    <w:rsid w:val="004C6518"/>
    <w:rsid w:val="004D1F7B"/>
    <w:rsid w:val="004D6BAB"/>
    <w:rsid w:val="004D72EA"/>
    <w:rsid w:val="004E1DD5"/>
    <w:rsid w:val="004E4063"/>
    <w:rsid w:val="004F7B25"/>
    <w:rsid w:val="005064D6"/>
    <w:rsid w:val="00515C24"/>
    <w:rsid w:val="005228B9"/>
    <w:rsid w:val="0053056E"/>
    <w:rsid w:val="0053460F"/>
    <w:rsid w:val="00534690"/>
    <w:rsid w:val="00542676"/>
    <w:rsid w:val="00543C02"/>
    <w:rsid w:val="005446D2"/>
    <w:rsid w:val="00563CA2"/>
    <w:rsid w:val="00565800"/>
    <w:rsid w:val="005675E1"/>
    <w:rsid w:val="00571B58"/>
    <w:rsid w:val="00576410"/>
    <w:rsid w:val="00591240"/>
    <w:rsid w:val="005921D3"/>
    <w:rsid w:val="0059606F"/>
    <w:rsid w:val="005A4977"/>
    <w:rsid w:val="005B31C1"/>
    <w:rsid w:val="005B6432"/>
    <w:rsid w:val="005B7676"/>
    <w:rsid w:val="005C3785"/>
    <w:rsid w:val="005C5146"/>
    <w:rsid w:val="005D34ED"/>
    <w:rsid w:val="005E09C5"/>
    <w:rsid w:val="005E1A29"/>
    <w:rsid w:val="005E378F"/>
    <w:rsid w:val="005E4273"/>
    <w:rsid w:val="005F1222"/>
    <w:rsid w:val="006009F0"/>
    <w:rsid w:val="006155E9"/>
    <w:rsid w:val="00615646"/>
    <w:rsid w:val="00615BE0"/>
    <w:rsid w:val="0061754D"/>
    <w:rsid w:val="00622391"/>
    <w:rsid w:val="00622BFF"/>
    <w:rsid w:val="006265DE"/>
    <w:rsid w:val="006376B3"/>
    <w:rsid w:val="00643687"/>
    <w:rsid w:val="006472C4"/>
    <w:rsid w:val="006515E5"/>
    <w:rsid w:val="006812CF"/>
    <w:rsid w:val="00682EE1"/>
    <w:rsid w:val="00684B6B"/>
    <w:rsid w:val="00691F9E"/>
    <w:rsid w:val="0069397B"/>
    <w:rsid w:val="00693ABA"/>
    <w:rsid w:val="006B1A70"/>
    <w:rsid w:val="006B751B"/>
    <w:rsid w:val="006C5FCD"/>
    <w:rsid w:val="006D3C6E"/>
    <w:rsid w:val="006D4324"/>
    <w:rsid w:val="006D7235"/>
    <w:rsid w:val="006E120E"/>
    <w:rsid w:val="006E5CB1"/>
    <w:rsid w:val="006F1CAF"/>
    <w:rsid w:val="007029E1"/>
    <w:rsid w:val="0072764B"/>
    <w:rsid w:val="00733DD9"/>
    <w:rsid w:val="00753D77"/>
    <w:rsid w:val="00765313"/>
    <w:rsid w:val="00773768"/>
    <w:rsid w:val="0077749E"/>
    <w:rsid w:val="007871A8"/>
    <w:rsid w:val="007959D7"/>
    <w:rsid w:val="00795DD7"/>
    <w:rsid w:val="00796FA0"/>
    <w:rsid w:val="007A3256"/>
    <w:rsid w:val="007A7560"/>
    <w:rsid w:val="007B1209"/>
    <w:rsid w:val="007B3EFE"/>
    <w:rsid w:val="007C0327"/>
    <w:rsid w:val="007D22DD"/>
    <w:rsid w:val="007E7374"/>
    <w:rsid w:val="007F5607"/>
    <w:rsid w:val="007F70DE"/>
    <w:rsid w:val="00812A8D"/>
    <w:rsid w:val="008137EB"/>
    <w:rsid w:val="00823B74"/>
    <w:rsid w:val="00824BDB"/>
    <w:rsid w:val="00840A4A"/>
    <w:rsid w:val="00842151"/>
    <w:rsid w:val="00853F8C"/>
    <w:rsid w:val="008554A6"/>
    <w:rsid w:val="00866A7E"/>
    <w:rsid w:val="00867DF2"/>
    <w:rsid w:val="0088184E"/>
    <w:rsid w:val="00886E8E"/>
    <w:rsid w:val="00887EB9"/>
    <w:rsid w:val="00892FD4"/>
    <w:rsid w:val="008A585A"/>
    <w:rsid w:val="008A5AEE"/>
    <w:rsid w:val="008C19F5"/>
    <w:rsid w:val="008D142E"/>
    <w:rsid w:val="008D2D21"/>
    <w:rsid w:val="008E1A38"/>
    <w:rsid w:val="008E34D0"/>
    <w:rsid w:val="008E573A"/>
    <w:rsid w:val="008E711F"/>
    <w:rsid w:val="009002DE"/>
    <w:rsid w:val="009006DC"/>
    <w:rsid w:val="009035C5"/>
    <w:rsid w:val="00907092"/>
    <w:rsid w:val="00910060"/>
    <w:rsid w:val="0092203F"/>
    <w:rsid w:val="0095524D"/>
    <w:rsid w:val="00955ABA"/>
    <w:rsid w:val="009662C3"/>
    <w:rsid w:val="00975EEF"/>
    <w:rsid w:val="009834C9"/>
    <w:rsid w:val="009906DF"/>
    <w:rsid w:val="009908CF"/>
    <w:rsid w:val="00992FCB"/>
    <w:rsid w:val="00994EA9"/>
    <w:rsid w:val="009978DE"/>
    <w:rsid w:val="009A13AC"/>
    <w:rsid w:val="009C1D75"/>
    <w:rsid w:val="009C5CC3"/>
    <w:rsid w:val="009D4831"/>
    <w:rsid w:val="009D5F0A"/>
    <w:rsid w:val="009E01B6"/>
    <w:rsid w:val="009E3F0C"/>
    <w:rsid w:val="009E7CF2"/>
    <w:rsid w:val="009F59EF"/>
    <w:rsid w:val="009F779A"/>
    <w:rsid w:val="009F7DCB"/>
    <w:rsid w:val="00A02501"/>
    <w:rsid w:val="00A02C3D"/>
    <w:rsid w:val="00A075C2"/>
    <w:rsid w:val="00A1434C"/>
    <w:rsid w:val="00A15FDC"/>
    <w:rsid w:val="00A20246"/>
    <w:rsid w:val="00A26FE9"/>
    <w:rsid w:val="00A32261"/>
    <w:rsid w:val="00A34E09"/>
    <w:rsid w:val="00A418D3"/>
    <w:rsid w:val="00A53AC7"/>
    <w:rsid w:val="00A54231"/>
    <w:rsid w:val="00A5493C"/>
    <w:rsid w:val="00A748E0"/>
    <w:rsid w:val="00A7570D"/>
    <w:rsid w:val="00A766CE"/>
    <w:rsid w:val="00A901A5"/>
    <w:rsid w:val="00A91C18"/>
    <w:rsid w:val="00A91C7A"/>
    <w:rsid w:val="00A92F87"/>
    <w:rsid w:val="00A93137"/>
    <w:rsid w:val="00A97E1A"/>
    <w:rsid w:val="00AA6461"/>
    <w:rsid w:val="00AA70A3"/>
    <w:rsid w:val="00AB0203"/>
    <w:rsid w:val="00AB2B1E"/>
    <w:rsid w:val="00AC2EED"/>
    <w:rsid w:val="00AC6BEC"/>
    <w:rsid w:val="00AC78D1"/>
    <w:rsid w:val="00AD4E14"/>
    <w:rsid w:val="00AD6441"/>
    <w:rsid w:val="00AD7F24"/>
    <w:rsid w:val="00AE5CFC"/>
    <w:rsid w:val="00AF6954"/>
    <w:rsid w:val="00B019CD"/>
    <w:rsid w:val="00B01FCD"/>
    <w:rsid w:val="00B0413D"/>
    <w:rsid w:val="00B10F00"/>
    <w:rsid w:val="00B22EC2"/>
    <w:rsid w:val="00B324D4"/>
    <w:rsid w:val="00B33F67"/>
    <w:rsid w:val="00B343DC"/>
    <w:rsid w:val="00B41D03"/>
    <w:rsid w:val="00B4560F"/>
    <w:rsid w:val="00B73E6B"/>
    <w:rsid w:val="00B97102"/>
    <w:rsid w:val="00BA08DA"/>
    <w:rsid w:val="00BA5C6B"/>
    <w:rsid w:val="00BA67D3"/>
    <w:rsid w:val="00BB0F44"/>
    <w:rsid w:val="00BB10BC"/>
    <w:rsid w:val="00BB23D0"/>
    <w:rsid w:val="00BC55BC"/>
    <w:rsid w:val="00BE3714"/>
    <w:rsid w:val="00BE74D4"/>
    <w:rsid w:val="00BF0C74"/>
    <w:rsid w:val="00BF5794"/>
    <w:rsid w:val="00BF7087"/>
    <w:rsid w:val="00C0692C"/>
    <w:rsid w:val="00C06DB0"/>
    <w:rsid w:val="00C124C3"/>
    <w:rsid w:val="00C205BD"/>
    <w:rsid w:val="00C25019"/>
    <w:rsid w:val="00C25ADE"/>
    <w:rsid w:val="00C34922"/>
    <w:rsid w:val="00C46522"/>
    <w:rsid w:val="00C511C8"/>
    <w:rsid w:val="00C512D0"/>
    <w:rsid w:val="00C519AC"/>
    <w:rsid w:val="00C621E9"/>
    <w:rsid w:val="00C625DA"/>
    <w:rsid w:val="00C63760"/>
    <w:rsid w:val="00C65EFC"/>
    <w:rsid w:val="00C70F1B"/>
    <w:rsid w:val="00C7287D"/>
    <w:rsid w:val="00C74388"/>
    <w:rsid w:val="00C806B0"/>
    <w:rsid w:val="00C8115E"/>
    <w:rsid w:val="00C824BD"/>
    <w:rsid w:val="00C85D3B"/>
    <w:rsid w:val="00C92191"/>
    <w:rsid w:val="00C9283F"/>
    <w:rsid w:val="00C9344F"/>
    <w:rsid w:val="00C970D6"/>
    <w:rsid w:val="00CA09F0"/>
    <w:rsid w:val="00CA2ABA"/>
    <w:rsid w:val="00CB399E"/>
    <w:rsid w:val="00CB5137"/>
    <w:rsid w:val="00CC3F12"/>
    <w:rsid w:val="00CC54C8"/>
    <w:rsid w:val="00CD0C3E"/>
    <w:rsid w:val="00CD7086"/>
    <w:rsid w:val="00CE1255"/>
    <w:rsid w:val="00CE400A"/>
    <w:rsid w:val="00CE58B2"/>
    <w:rsid w:val="00CE62B5"/>
    <w:rsid w:val="00CE7D82"/>
    <w:rsid w:val="00CF67D0"/>
    <w:rsid w:val="00D03790"/>
    <w:rsid w:val="00D220FF"/>
    <w:rsid w:val="00D24567"/>
    <w:rsid w:val="00D25890"/>
    <w:rsid w:val="00D317E2"/>
    <w:rsid w:val="00D31CA6"/>
    <w:rsid w:val="00D328BE"/>
    <w:rsid w:val="00D330A2"/>
    <w:rsid w:val="00D3332D"/>
    <w:rsid w:val="00D400A8"/>
    <w:rsid w:val="00D53402"/>
    <w:rsid w:val="00D60647"/>
    <w:rsid w:val="00D71F6D"/>
    <w:rsid w:val="00D76E7B"/>
    <w:rsid w:val="00D7754F"/>
    <w:rsid w:val="00D95157"/>
    <w:rsid w:val="00DA7FA0"/>
    <w:rsid w:val="00DB0C29"/>
    <w:rsid w:val="00DB268A"/>
    <w:rsid w:val="00DD5E0A"/>
    <w:rsid w:val="00DD5E12"/>
    <w:rsid w:val="00DE18AB"/>
    <w:rsid w:val="00DF2BB2"/>
    <w:rsid w:val="00DF6B61"/>
    <w:rsid w:val="00E01BD3"/>
    <w:rsid w:val="00E05022"/>
    <w:rsid w:val="00E14938"/>
    <w:rsid w:val="00E17F5A"/>
    <w:rsid w:val="00E20066"/>
    <w:rsid w:val="00E21ADE"/>
    <w:rsid w:val="00E25DD3"/>
    <w:rsid w:val="00E32BB4"/>
    <w:rsid w:val="00E37DC5"/>
    <w:rsid w:val="00E43931"/>
    <w:rsid w:val="00E43998"/>
    <w:rsid w:val="00E52CD3"/>
    <w:rsid w:val="00E601AC"/>
    <w:rsid w:val="00E6556E"/>
    <w:rsid w:val="00E81994"/>
    <w:rsid w:val="00E90967"/>
    <w:rsid w:val="00E9116E"/>
    <w:rsid w:val="00E92199"/>
    <w:rsid w:val="00EA0A39"/>
    <w:rsid w:val="00EA6719"/>
    <w:rsid w:val="00EB29A5"/>
    <w:rsid w:val="00EE1BCF"/>
    <w:rsid w:val="00EE211D"/>
    <w:rsid w:val="00EE4921"/>
    <w:rsid w:val="00EE7E6C"/>
    <w:rsid w:val="00EF2372"/>
    <w:rsid w:val="00EF4D47"/>
    <w:rsid w:val="00F0220B"/>
    <w:rsid w:val="00F04F83"/>
    <w:rsid w:val="00F17988"/>
    <w:rsid w:val="00F20814"/>
    <w:rsid w:val="00F26681"/>
    <w:rsid w:val="00F345B4"/>
    <w:rsid w:val="00F4768D"/>
    <w:rsid w:val="00F502DB"/>
    <w:rsid w:val="00F61475"/>
    <w:rsid w:val="00F641DA"/>
    <w:rsid w:val="00F679A6"/>
    <w:rsid w:val="00F76AEA"/>
    <w:rsid w:val="00F85EBC"/>
    <w:rsid w:val="00F910BE"/>
    <w:rsid w:val="00F93A6B"/>
    <w:rsid w:val="00FA2863"/>
    <w:rsid w:val="00FB53F1"/>
    <w:rsid w:val="00FB599C"/>
    <w:rsid w:val="00FB7DD2"/>
    <w:rsid w:val="00FC230D"/>
    <w:rsid w:val="00FC30DF"/>
    <w:rsid w:val="00FD3482"/>
    <w:rsid w:val="00FE24DE"/>
    <w:rsid w:val="00FE434A"/>
    <w:rsid w:val="00FE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7F3FE"/>
  <w15:docId w15:val="{8F86C496-1093-4D10-8B5F-36FC0877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locked="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a">
    <w:name w:val="Normal"/>
    <w:qFormat/>
    <w:rsid w:val="00C625DA"/>
    <w:pPr>
      <w:spacing w:after="240"/>
    </w:pPr>
    <w:rPr>
      <w:sz w:val="18"/>
    </w:rPr>
  </w:style>
  <w:style w:type="paragraph" w:styleId="1">
    <w:name w:val="heading 1"/>
    <w:basedOn w:val="a"/>
    <w:next w:val="a"/>
    <w:semiHidden/>
    <w:unhideWhenUsed/>
    <w:qFormat/>
    <w:locked/>
    <w:rsid w:val="002D3324"/>
    <w:pPr>
      <w:keepNext/>
      <w:spacing w:before="240" w:after="60"/>
      <w:outlineLvl w:val="0"/>
    </w:pPr>
    <w:rPr>
      <w:b/>
      <w:kern w:val="28"/>
      <w:sz w:val="28"/>
    </w:rPr>
  </w:style>
  <w:style w:type="paragraph" w:styleId="2">
    <w:name w:val="heading 2"/>
    <w:basedOn w:val="a"/>
    <w:next w:val="a"/>
    <w:semiHidden/>
    <w:unhideWhenUsed/>
    <w:qFormat/>
    <w:locked/>
    <w:rsid w:val="000D2A1B"/>
    <w:pPr>
      <w:keepNext/>
      <w:spacing w:before="240" w:after="60"/>
      <w:outlineLvl w:val="1"/>
    </w:pPr>
    <w:rPr>
      <w:rFonts w:cs="Arial"/>
      <w:b/>
      <w:bCs/>
      <w:i/>
      <w:iCs/>
      <w:sz w:val="28"/>
      <w:szCs w:val="28"/>
    </w:rPr>
  </w:style>
  <w:style w:type="paragraph" w:styleId="3">
    <w:name w:val="heading 3"/>
    <w:basedOn w:val="a"/>
    <w:next w:val="a"/>
    <w:semiHidden/>
    <w:unhideWhenUsed/>
    <w:qFormat/>
    <w:locked/>
    <w:rsid w:val="000D2A1B"/>
    <w:pPr>
      <w:keepNext/>
      <w:spacing w:before="240" w:after="60"/>
      <w:outlineLvl w:val="2"/>
    </w:pPr>
    <w:rPr>
      <w:rFonts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
    <w:name w:val="Author"/>
    <w:basedOn w:val="a"/>
    <w:qFormat/>
    <w:rsid w:val="005E378F"/>
    <w:pPr>
      <w:spacing w:after="0" w:line="280" w:lineRule="exact"/>
      <w:jc w:val="right"/>
    </w:pPr>
    <w:rPr>
      <w:b/>
      <w:sz w:val="24"/>
    </w:rPr>
  </w:style>
  <w:style w:type="paragraph" w:customStyle="1" w:styleId="Affiliation">
    <w:name w:val="Affiliation"/>
    <w:basedOn w:val="a"/>
    <w:qFormat/>
    <w:rsid w:val="005E378F"/>
    <w:pPr>
      <w:spacing w:line="240" w:lineRule="exact"/>
      <w:jc w:val="right"/>
    </w:pPr>
    <w:rPr>
      <w:sz w:val="20"/>
    </w:rPr>
  </w:style>
  <w:style w:type="paragraph" w:styleId="a3">
    <w:name w:val="header"/>
    <w:basedOn w:val="a"/>
    <w:link w:val="a4"/>
    <w:semiHidden/>
    <w:locked/>
    <w:rsid w:val="005B31C1"/>
    <w:pPr>
      <w:tabs>
        <w:tab w:val="center" w:pos="4680"/>
        <w:tab w:val="right" w:pos="9360"/>
      </w:tabs>
      <w:spacing w:after="0"/>
    </w:pPr>
  </w:style>
  <w:style w:type="paragraph" w:customStyle="1" w:styleId="PaperNumber">
    <w:name w:val="Paper Number"/>
    <w:basedOn w:val="a"/>
    <w:next w:val="Author"/>
    <w:qFormat/>
    <w:rsid w:val="00542676"/>
    <w:pPr>
      <w:spacing w:line="280" w:lineRule="exact"/>
      <w:jc w:val="right"/>
    </w:pPr>
    <w:rPr>
      <w:b/>
    </w:rPr>
  </w:style>
  <w:style w:type="character" w:customStyle="1" w:styleId="a4">
    <w:name w:val="页眉 字符"/>
    <w:basedOn w:val="a0"/>
    <w:link w:val="a3"/>
    <w:rsid w:val="005B31C1"/>
    <w:rPr>
      <w:rFonts w:ascii="Arial" w:hAnsi="Arial"/>
    </w:rPr>
  </w:style>
  <w:style w:type="character" w:styleId="a5">
    <w:name w:val="footnote reference"/>
    <w:basedOn w:val="a0"/>
    <w:qFormat/>
    <w:rsid w:val="00CA09F0"/>
    <w:rPr>
      <w:rFonts w:ascii="Arial" w:hAnsi="Arial"/>
      <w:sz w:val="22"/>
      <w:vertAlign w:val="superscript"/>
    </w:rPr>
  </w:style>
  <w:style w:type="paragraph" w:styleId="a6">
    <w:name w:val="footnote text"/>
    <w:basedOn w:val="a"/>
    <w:rsid w:val="005E378F"/>
    <w:rPr>
      <w:szCs w:val="20"/>
    </w:rPr>
  </w:style>
  <w:style w:type="paragraph" w:customStyle="1" w:styleId="Copyright">
    <w:name w:val="Copyright"/>
    <w:basedOn w:val="a"/>
    <w:qFormat/>
    <w:rsid w:val="005E378F"/>
    <w:pPr>
      <w:spacing w:after="960" w:line="200" w:lineRule="exact"/>
    </w:pPr>
    <w:rPr>
      <w:sz w:val="16"/>
    </w:rPr>
  </w:style>
  <w:style w:type="paragraph" w:styleId="a7">
    <w:name w:val="Title"/>
    <w:basedOn w:val="a"/>
    <w:qFormat/>
    <w:rsid w:val="005E378F"/>
    <w:pPr>
      <w:spacing w:after="340"/>
      <w:jc w:val="right"/>
    </w:pPr>
    <w:rPr>
      <w:b/>
      <w:kern w:val="28"/>
      <w:sz w:val="30"/>
    </w:rPr>
  </w:style>
  <w:style w:type="paragraph" w:customStyle="1" w:styleId="Head1">
    <w:name w:val="Head1"/>
    <w:basedOn w:val="a"/>
    <w:qFormat/>
    <w:rsid w:val="005E378F"/>
    <w:pPr>
      <w:keepNext/>
    </w:pPr>
    <w:rPr>
      <w:b/>
      <w:sz w:val="24"/>
      <w:szCs w:val="28"/>
    </w:rPr>
  </w:style>
  <w:style w:type="paragraph" w:customStyle="1" w:styleId="Head3">
    <w:name w:val="Head3"/>
    <w:basedOn w:val="Head2"/>
    <w:next w:val="a"/>
    <w:qFormat/>
    <w:rsid w:val="00366EC9"/>
    <w:pPr>
      <w:spacing w:after="240"/>
    </w:pPr>
    <w:rPr>
      <w:i w:val="0"/>
      <w:sz w:val="20"/>
    </w:rPr>
  </w:style>
  <w:style w:type="paragraph" w:customStyle="1" w:styleId="Head4">
    <w:name w:val="Head4"/>
    <w:basedOn w:val="Head3"/>
    <w:next w:val="a"/>
    <w:qFormat/>
    <w:rsid w:val="00366EC9"/>
    <w:pPr>
      <w:spacing w:after="220"/>
    </w:pPr>
    <w:rPr>
      <w:i/>
      <w:sz w:val="18"/>
    </w:rPr>
  </w:style>
  <w:style w:type="paragraph" w:customStyle="1" w:styleId="List-Unordered">
    <w:name w:val="List-Unordered"/>
    <w:basedOn w:val="a"/>
    <w:qFormat/>
    <w:rsid w:val="00CA09F0"/>
    <w:pPr>
      <w:numPr>
        <w:numId w:val="1"/>
      </w:numPr>
      <w:contextualSpacing/>
    </w:pPr>
  </w:style>
  <w:style w:type="paragraph" w:customStyle="1" w:styleId="List-Ordered-Numeric">
    <w:name w:val="List-Ordered-Numeric"/>
    <w:basedOn w:val="a"/>
    <w:qFormat/>
    <w:rsid w:val="000B1307"/>
    <w:pPr>
      <w:numPr>
        <w:numId w:val="2"/>
      </w:numPr>
      <w:contextualSpacing/>
    </w:pPr>
  </w:style>
  <w:style w:type="paragraph" w:customStyle="1" w:styleId="Head2">
    <w:name w:val="Head2"/>
    <w:basedOn w:val="a"/>
    <w:next w:val="a"/>
    <w:qFormat/>
    <w:rsid w:val="005E378F"/>
    <w:pPr>
      <w:keepNext/>
      <w:spacing w:after="260"/>
    </w:pPr>
    <w:rPr>
      <w:b/>
      <w:i/>
      <w:sz w:val="22"/>
      <w:szCs w:val="28"/>
    </w:rPr>
  </w:style>
  <w:style w:type="paragraph" w:customStyle="1" w:styleId="Equation">
    <w:name w:val="Equation"/>
    <w:basedOn w:val="a"/>
    <w:qFormat/>
    <w:rsid w:val="005E378F"/>
  </w:style>
  <w:style w:type="character" w:customStyle="1" w:styleId="Subscript">
    <w:name w:val="Subscript"/>
    <w:qFormat/>
    <w:rsid w:val="00F93A6B"/>
    <w:rPr>
      <w:sz w:val="18"/>
      <w:vertAlign w:val="subscript"/>
    </w:rPr>
  </w:style>
  <w:style w:type="character" w:customStyle="1" w:styleId="Superscript">
    <w:name w:val="Superscript"/>
    <w:qFormat/>
    <w:rsid w:val="00F93A6B"/>
    <w:rPr>
      <w:sz w:val="18"/>
      <w:vertAlign w:val="superscript"/>
    </w:rPr>
  </w:style>
  <w:style w:type="character" w:customStyle="1" w:styleId="Symbol">
    <w:name w:val="Symbol"/>
    <w:qFormat/>
    <w:rsid w:val="00A34E09"/>
    <w:rPr>
      <w:rFonts w:ascii="Symbol" w:hAnsi="Symbol"/>
    </w:rPr>
  </w:style>
  <w:style w:type="character" w:customStyle="1" w:styleId="Subscript-Italic">
    <w:name w:val="Subscript-Italic"/>
    <w:qFormat/>
    <w:rsid w:val="00F93A6B"/>
    <w:rPr>
      <w:i/>
      <w:sz w:val="18"/>
      <w:vertAlign w:val="subscript"/>
    </w:rPr>
  </w:style>
  <w:style w:type="character" w:customStyle="1" w:styleId="Superscript-Italic">
    <w:name w:val="Superscript-Italic"/>
    <w:qFormat/>
    <w:rsid w:val="00F93A6B"/>
    <w:rPr>
      <w:i/>
      <w:sz w:val="18"/>
      <w:vertAlign w:val="superscript"/>
    </w:rPr>
  </w:style>
  <w:style w:type="paragraph" w:customStyle="1" w:styleId="Monotype">
    <w:name w:val="Monotype"/>
    <w:basedOn w:val="a"/>
    <w:qFormat/>
    <w:rsid w:val="00BA5C6B"/>
    <w:rPr>
      <w:rFonts w:ascii="Courier New" w:hAnsi="Courier New"/>
    </w:rPr>
  </w:style>
  <w:style w:type="character" w:customStyle="1" w:styleId="TableNoteReference">
    <w:name w:val="Table Note Reference"/>
    <w:basedOn w:val="a0"/>
    <w:uiPriority w:val="1"/>
    <w:qFormat/>
    <w:rsid w:val="00422A49"/>
    <w:rPr>
      <w:rFonts w:ascii="Arial" w:hAnsi="Arial"/>
      <w:i/>
      <w:sz w:val="14"/>
      <w:vertAlign w:val="superscript"/>
    </w:rPr>
  </w:style>
  <w:style w:type="character" w:customStyle="1" w:styleId="Emphasis-Bold">
    <w:name w:val="Emphasis-Bold"/>
    <w:basedOn w:val="a0"/>
    <w:qFormat/>
    <w:rsid w:val="000D2A1B"/>
    <w:rPr>
      <w:b/>
    </w:rPr>
  </w:style>
  <w:style w:type="character" w:customStyle="1" w:styleId="Emphasis-Italic">
    <w:name w:val="Emphasis-Italic"/>
    <w:basedOn w:val="a0"/>
    <w:qFormat/>
    <w:rsid w:val="000D2A1B"/>
    <w:rPr>
      <w:i/>
    </w:rPr>
  </w:style>
  <w:style w:type="character" w:customStyle="1" w:styleId="Emphasis-Underline">
    <w:name w:val="Emphasis-Underline"/>
    <w:basedOn w:val="a0"/>
    <w:qFormat/>
    <w:rsid w:val="000D2A1B"/>
    <w:rPr>
      <w:u w:val="single"/>
    </w:rPr>
  </w:style>
  <w:style w:type="paragraph" w:customStyle="1" w:styleId="TableTitle">
    <w:name w:val="Table Title"/>
    <w:basedOn w:val="a"/>
    <w:next w:val="a"/>
    <w:rsid w:val="005E378F"/>
    <w:pPr>
      <w:keepNext/>
      <w:spacing w:after="220"/>
    </w:pPr>
    <w:rPr>
      <w:color w:val="01A0E9"/>
      <w:sz w:val="16"/>
    </w:rPr>
  </w:style>
  <w:style w:type="paragraph" w:customStyle="1" w:styleId="FigureCaption">
    <w:name w:val="Figure Caption"/>
    <w:basedOn w:val="a"/>
    <w:next w:val="a"/>
    <w:rsid w:val="005E378F"/>
    <w:pPr>
      <w:spacing w:after="220"/>
    </w:pPr>
    <w:rPr>
      <w:color w:val="01A0E9"/>
      <w:sz w:val="16"/>
    </w:rPr>
  </w:style>
  <w:style w:type="character" w:customStyle="1" w:styleId="Emphasis-Bold-Italic">
    <w:name w:val="Emphasis-Bold-Italic"/>
    <w:basedOn w:val="a0"/>
    <w:qFormat/>
    <w:rsid w:val="00A766CE"/>
    <w:rPr>
      <w:b/>
      <w:i/>
    </w:rPr>
  </w:style>
  <w:style w:type="paragraph" w:styleId="a8">
    <w:name w:val="footer"/>
    <w:basedOn w:val="a"/>
    <w:unhideWhenUsed/>
    <w:locked/>
    <w:rsid w:val="005E378F"/>
    <w:pPr>
      <w:tabs>
        <w:tab w:val="center" w:pos="4320"/>
        <w:tab w:val="right" w:pos="8640"/>
      </w:tabs>
    </w:pPr>
  </w:style>
  <w:style w:type="character" w:styleId="a9">
    <w:name w:val="page number"/>
    <w:basedOn w:val="a0"/>
    <w:semiHidden/>
    <w:unhideWhenUsed/>
    <w:locked/>
    <w:rsid w:val="009662C3"/>
  </w:style>
  <w:style w:type="paragraph" w:customStyle="1" w:styleId="TableNoteText">
    <w:name w:val="Table Note Text"/>
    <w:basedOn w:val="a"/>
    <w:next w:val="a"/>
    <w:qFormat/>
    <w:rsid w:val="005E378F"/>
    <w:pPr>
      <w:spacing w:after="180"/>
    </w:pPr>
    <w:rPr>
      <w:sz w:val="14"/>
    </w:rPr>
  </w:style>
  <w:style w:type="paragraph" w:customStyle="1" w:styleId="Center">
    <w:name w:val="Center"/>
    <w:basedOn w:val="a"/>
    <w:next w:val="a"/>
    <w:qFormat/>
    <w:rsid w:val="00D400A8"/>
    <w:pPr>
      <w:jc w:val="center"/>
    </w:pPr>
  </w:style>
  <w:style w:type="table" w:styleId="aa">
    <w:name w:val="Table Grid"/>
    <w:basedOn w:val="a1"/>
    <w:rsid w:val="00C85D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table" w:customStyle="1" w:styleId="BorderlessTable">
    <w:name w:val="Borderless Table"/>
    <w:basedOn w:val="a1"/>
    <w:uiPriority w:val="99"/>
    <w:rsid w:val="009834C9"/>
    <w:tblPr/>
  </w:style>
  <w:style w:type="table" w:customStyle="1" w:styleId="TableGridCenter">
    <w:name w:val="Table Grid Center"/>
    <w:basedOn w:val="aa"/>
    <w:uiPriority w:val="99"/>
    <w:qFormat/>
    <w:rsid w:val="005064D6"/>
    <w:tblPr>
      <w:jc w:val="center"/>
    </w:tblPr>
    <w:trPr>
      <w:jc w:val="center"/>
    </w:trPr>
  </w:style>
  <w:style w:type="table" w:customStyle="1" w:styleId="BorderlessTableCenter">
    <w:name w:val="Borderless Table Center"/>
    <w:basedOn w:val="a1"/>
    <w:uiPriority w:val="99"/>
    <w:rsid w:val="00EB29A5"/>
    <w:tblPr>
      <w:jc w:val="center"/>
    </w:tblPr>
    <w:trPr>
      <w:jc w:val="center"/>
    </w:trPr>
    <w:tcPr>
      <w:vAlign w:val="center"/>
    </w:tcPr>
  </w:style>
  <w:style w:type="paragraph" w:customStyle="1" w:styleId="DefinitionTerm">
    <w:name w:val="Definition Term"/>
    <w:basedOn w:val="a"/>
    <w:next w:val="Definition"/>
    <w:qFormat/>
    <w:rsid w:val="005E378F"/>
    <w:rPr>
      <w:b/>
    </w:rPr>
  </w:style>
  <w:style w:type="paragraph" w:customStyle="1" w:styleId="Definition">
    <w:name w:val="Definition"/>
    <w:basedOn w:val="a"/>
    <w:next w:val="a"/>
    <w:qFormat/>
    <w:rsid w:val="005E378F"/>
    <w:pPr>
      <w:ind w:left="720" w:right="720"/>
    </w:pPr>
  </w:style>
  <w:style w:type="paragraph" w:customStyle="1" w:styleId="Figure">
    <w:name w:val="Figure"/>
    <w:basedOn w:val="a"/>
    <w:next w:val="FigureCaption"/>
    <w:qFormat/>
    <w:rsid w:val="005E378F"/>
    <w:pPr>
      <w:keepNext/>
      <w:spacing w:after="0"/>
    </w:pPr>
  </w:style>
  <w:style w:type="paragraph" w:customStyle="1" w:styleId="NormalTableText">
    <w:name w:val="Normal Table Text"/>
    <w:basedOn w:val="a"/>
    <w:qFormat/>
    <w:rsid w:val="00C625DA"/>
    <w:pPr>
      <w:spacing w:after="180"/>
    </w:pPr>
    <w:rPr>
      <w:sz w:val="16"/>
    </w:rPr>
  </w:style>
  <w:style w:type="paragraph" w:styleId="ab">
    <w:name w:val="Balloon Text"/>
    <w:basedOn w:val="a"/>
    <w:link w:val="ac"/>
    <w:semiHidden/>
    <w:locked/>
    <w:rsid w:val="00FD3482"/>
    <w:pPr>
      <w:spacing w:after="0"/>
    </w:pPr>
    <w:rPr>
      <w:rFonts w:ascii="Tahoma" w:hAnsi="Tahoma" w:cs="Tahoma"/>
      <w:sz w:val="16"/>
      <w:szCs w:val="16"/>
    </w:rPr>
  </w:style>
  <w:style w:type="character" w:customStyle="1" w:styleId="ac">
    <w:name w:val="批注框文本 字符"/>
    <w:basedOn w:val="a0"/>
    <w:link w:val="ab"/>
    <w:semiHidden/>
    <w:rsid w:val="00796FA0"/>
    <w:rPr>
      <w:rFonts w:ascii="Tahoma" w:hAnsi="Tahoma" w:cs="Tahoma"/>
      <w:sz w:val="16"/>
      <w:szCs w:val="16"/>
    </w:rPr>
  </w:style>
  <w:style w:type="character" w:styleId="ad">
    <w:name w:val="Emphasis"/>
    <w:basedOn w:val="a0"/>
    <w:uiPriority w:val="20"/>
    <w:qFormat/>
    <w:locked/>
    <w:rsid w:val="00824BDB"/>
    <w:rPr>
      <w:i/>
      <w:iCs/>
    </w:rPr>
  </w:style>
  <w:style w:type="character" w:styleId="ae">
    <w:name w:val="Hyperlink"/>
    <w:basedOn w:val="a0"/>
    <w:uiPriority w:val="99"/>
    <w:qFormat/>
    <w:rsid w:val="00231F88"/>
    <w:rPr>
      <w:color w:val="0000FF" w:themeColor="hyperlink"/>
      <w:u w:val="single"/>
    </w:rPr>
  </w:style>
  <w:style w:type="character" w:styleId="af">
    <w:name w:val="FollowedHyperlink"/>
    <w:basedOn w:val="a0"/>
    <w:locked/>
    <w:rsid w:val="00231F88"/>
    <w:rPr>
      <w:color w:val="800080" w:themeColor="followedHyperlink"/>
      <w:u w:val="single"/>
    </w:rPr>
  </w:style>
  <w:style w:type="paragraph" w:customStyle="1" w:styleId="StyleList-Ordered-NumericItalic">
    <w:name w:val="Style List-Ordered-Numeric + Italic"/>
    <w:basedOn w:val="List-Ordered-Numeric"/>
    <w:rsid w:val="005E378F"/>
    <w:rPr>
      <w:i/>
      <w:iCs/>
    </w:rPr>
  </w:style>
  <w:style w:type="paragraph" w:customStyle="1" w:styleId="StyleStyleList-Ordered-NumericItalicUnderline">
    <w:name w:val="Style Style List-Ordered-Numeric + Italic + Underline"/>
    <w:basedOn w:val="StyleList-Ordered-NumericItalic"/>
    <w:rsid w:val="005E378F"/>
    <w:rPr>
      <w:u w:val="single"/>
    </w:rPr>
  </w:style>
  <w:style w:type="paragraph" w:styleId="af0">
    <w:name w:val="List Paragraph"/>
    <w:basedOn w:val="a"/>
    <w:uiPriority w:val="34"/>
    <w:locked/>
    <w:rsid w:val="003734A5"/>
    <w:pPr>
      <w:ind w:left="720"/>
      <w:contextualSpacing/>
    </w:pPr>
  </w:style>
  <w:style w:type="character" w:customStyle="1" w:styleId="apple-converted-space">
    <w:name w:val="apple-converted-space"/>
    <w:basedOn w:val="a0"/>
    <w:rsid w:val="006F1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496">
      <w:bodyDiv w:val="1"/>
      <w:marLeft w:val="0"/>
      <w:marRight w:val="0"/>
      <w:marTop w:val="0"/>
      <w:marBottom w:val="0"/>
      <w:divBdr>
        <w:top w:val="none" w:sz="0" w:space="0" w:color="auto"/>
        <w:left w:val="none" w:sz="0" w:space="0" w:color="auto"/>
        <w:bottom w:val="none" w:sz="0" w:space="0" w:color="auto"/>
        <w:right w:val="none" w:sz="0" w:space="0" w:color="auto"/>
      </w:divBdr>
      <w:divsChild>
        <w:div w:id="545142214">
          <w:marLeft w:val="0"/>
          <w:marRight w:val="0"/>
          <w:marTop w:val="0"/>
          <w:marBottom w:val="0"/>
          <w:divBdr>
            <w:top w:val="none" w:sz="0" w:space="0" w:color="auto"/>
            <w:left w:val="none" w:sz="0" w:space="0" w:color="auto"/>
            <w:bottom w:val="none" w:sz="0" w:space="0" w:color="auto"/>
            <w:right w:val="none" w:sz="0" w:space="0" w:color="auto"/>
          </w:divBdr>
        </w:div>
      </w:divsChild>
    </w:div>
    <w:div w:id="512500834">
      <w:bodyDiv w:val="1"/>
      <w:marLeft w:val="0"/>
      <w:marRight w:val="0"/>
      <w:marTop w:val="0"/>
      <w:marBottom w:val="0"/>
      <w:divBdr>
        <w:top w:val="none" w:sz="0" w:space="0" w:color="auto"/>
        <w:left w:val="none" w:sz="0" w:space="0" w:color="auto"/>
        <w:bottom w:val="none" w:sz="0" w:space="0" w:color="auto"/>
        <w:right w:val="none" w:sz="0" w:space="0" w:color="auto"/>
      </w:divBdr>
      <w:divsChild>
        <w:div w:id="792678303">
          <w:marLeft w:val="0"/>
          <w:marRight w:val="0"/>
          <w:marTop w:val="0"/>
          <w:marBottom w:val="0"/>
          <w:divBdr>
            <w:top w:val="none" w:sz="0" w:space="0" w:color="auto"/>
            <w:left w:val="none" w:sz="0" w:space="0" w:color="auto"/>
            <w:bottom w:val="none" w:sz="0" w:space="0" w:color="auto"/>
            <w:right w:val="none" w:sz="0" w:space="0" w:color="auto"/>
          </w:divBdr>
        </w:div>
      </w:divsChild>
    </w:div>
    <w:div w:id="537007710">
      <w:bodyDiv w:val="1"/>
      <w:marLeft w:val="0"/>
      <w:marRight w:val="0"/>
      <w:marTop w:val="0"/>
      <w:marBottom w:val="0"/>
      <w:divBdr>
        <w:top w:val="none" w:sz="0" w:space="0" w:color="auto"/>
        <w:left w:val="none" w:sz="0" w:space="0" w:color="auto"/>
        <w:bottom w:val="none" w:sz="0" w:space="0" w:color="auto"/>
        <w:right w:val="none" w:sz="0" w:space="0" w:color="auto"/>
      </w:divBdr>
      <w:divsChild>
        <w:div w:id="1458596932">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sChild>
                <w:div w:id="435567398">
                  <w:marLeft w:val="0"/>
                  <w:marRight w:val="0"/>
                  <w:marTop w:val="0"/>
                  <w:marBottom w:val="0"/>
                  <w:divBdr>
                    <w:top w:val="none" w:sz="0" w:space="0" w:color="auto"/>
                    <w:left w:val="none" w:sz="0" w:space="0" w:color="auto"/>
                    <w:bottom w:val="none" w:sz="0" w:space="0" w:color="auto"/>
                    <w:right w:val="none" w:sz="0" w:space="0" w:color="auto"/>
                  </w:divBdr>
                  <w:divsChild>
                    <w:div w:id="1632899127">
                      <w:marLeft w:val="180"/>
                      <w:marRight w:val="0"/>
                      <w:marTop w:val="0"/>
                      <w:marBottom w:val="0"/>
                      <w:divBdr>
                        <w:top w:val="none" w:sz="0" w:space="0" w:color="auto"/>
                        <w:left w:val="none" w:sz="0" w:space="0" w:color="auto"/>
                        <w:bottom w:val="none" w:sz="0" w:space="0" w:color="auto"/>
                        <w:right w:val="none" w:sz="0" w:space="0" w:color="auto"/>
                      </w:divBdr>
                      <w:divsChild>
                        <w:div w:id="1631983520">
                          <w:marLeft w:val="0"/>
                          <w:marRight w:val="0"/>
                          <w:marTop w:val="0"/>
                          <w:marBottom w:val="0"/>
                          <w:divBdr>
                            <w:top w:val="none" w:sz="0" w:space="0" w:color="auto"/>
                            <w:left w:val="none" w:sz="0" w:space="0" w:color="auto"/>
                            <w:bottom w:val="none" w:sz="0" w:space="0" w:color="auto"/>
                            <w:right w:val="none" w:sz="0" w:space="0" w:color="auto"/>
                          </w:divBdr>
                          <w:divsChild>
                            <w:div w:id="1410082334">
                              <w:marLeft w:val="0"/>
                              <w:marRight w:val="0"/>
                              <w:marTop w:val="0"/>
                              <w:marBottom w:val="0"/>
                              <w:divBdr>
                                <w:top w:val="single" w:sz="2" w:space="15" w:color="ACACAD"/>
                                <w:left w:val="single" w:sz="6" w:space="0" w:color="ACACAD"/>
                                <w:bottom w:val="single" w:sz="6" w:space="8" w:color="ACACAD"/>
                                <w:right w:val="single" w:sz="6" w:space="0" w:color="ACACAD"/>
                              </w:divBdr>
                              <w:divsChild>
                                <w:div w:id="328138978">
                                  <w:marLeft w:val="0"/>
                                  <w:marRight w:val="0"/>
                                  <w:marTop w:val="0"/>
                                  <w:marBottom w:val="0"/>
                                  <w:divBdr>
                                    <w:top w:val="none" w:sz="0" w:space="0" w:color="auto"/>
                                    <w:left w:val="none" w:sz="0" w:space="0" w:color="auto"/>
                                    <w:bottom w:val="none" w:sz="0" w:space="0" w:color="auto"/>
                                    <w:right w:val="none" w:sz="0" w:space="0" w:color="auto"/>
                                  </w:divBdr>
                                  <w:divsChild>
                                    <w:div w:id="17899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271681">
      <w:bodyDiv w:val="1"/>
      <w:marLeft w:val="0"/>
      <w:marRight w:val="0"/>
      <w:marTop w:val="0"/>
      <w:marBottom w:val="0"/>
      <w:divBdr>
        <w:top w:val="none" w:sz="0" w:space="0" w:color="auto"/>
        <w:left w:val="none" w:sz="0" w:space="0" w:color="auto"/>
        <w:bottom w:val="none" w:sz="0" w:space="0" w:color="auto"/>
        <w:right w:val="none" w:sz="0" w:space="0" w:color="auto"/>
      </w:divBdr>
    </w:div>
    <w:div w:id="936982388">
      <w:bodyDiv w:val="1"/>
      <w:marLeft w:val="0"/>
      <w:marRight w:val="0"/>
      <w:marTop w:val="0"/>
      <w:marBottom w:val="0"/>
      <w:divBdr>
        <w:top w:val="none" w:sz="0" w:space="0" w:color="auto"/>
        <w:left w:val="none" w:sz="0" w:space="0" w:color="auto"/>
        <w:bottom w:val="none" w:sz="0" w:space="0" w:color="auto"/>
        <w:right w:val="none" w:sz="0" w:space="0" w:color="auto"/>
      </w:divBdr>
      <w:divsChild>
        <w:div w:id="421297679">
          <w:marLeft w:val="0"/>
          <w:marRight w:val="0"/>
          <w:marTop w:val="0"/>
          <w:marBottom w:val="0"/>
          <w:divBdr>
            <w:top w:val="none" w:sz="0" w:space="0" w:color="auto"/>
            <w:left w:val="none" w:sz="0" w:space="0" w:color="auto"/>
            <w:bottom w:val="none" w:sz="0" w:space="0" w:color="auto"/>
            <w:right w:val="none" w:sz="0" w:space="0" w:color="auto"/>
          </w:divBdr>
        </w:div>
      </w:divsChild>
    </w:div>
    <w:div w:id="988485236">
      <w:bodyDiv w:val="1"/>
      <w:marLeft w:val="0"/>
      <w:marRight w:val="0"/>
      <w:marTop w:val="0"/>
      <w:marBottom w:val="0"/>
      <w:divBdr>
        <w:top w:val="none" w:sz="0" w:space="0" w:color="auto"/>
        <w:left w:val="none" w:sz="0" w:space="0" w:color="auto"/>
        <w:bottom w:val="none" w:sz="0" w:space="0" w:color="auto"/>
        <w:right w:val="none" w:sz="0" w:space="0" w:color="auto"/>
      </w:divBdr>
      <w:divsChild>
        <w:div w:id="2092773528">
          <w:marLeft w:val="0"/>
          <w:marRight w:val="0"/>
          <w:marTop w:val="0"/>
          <w:marBottom w:val="0"/>
          <w:divBdr>
            <w:top w:val="none" w:sz="0" w:space="0" w:color="auto"/>
            <w:left w:val="none" w:sz="0" w:space="0" w:color="auto"/>
            <w:bottom w:val="none" w:sz="0" w:space="0" w:color="auto"/>
            <w:right w:val="none" w:sz="0" w:space="0" w:color="auto"/>
          </w:divBdr>
        </w:div>
      </w:divsChild>
    </w:div>
    <w:div w:id="1084760187">
      <w:bodyDiv w:val="1"/>
      <w:marLeft w:val="0"/>
      <w:marRight w:val="0"/>
      <w:marTop w:val="0"/>
      <w:marBottom w:val="0"/>
      <w:divBdr>
        <w:top w:val="none" w:sz="0" w:space="0" w:color="auto"/>
        <w:left w:val="none" w:sz="0" w:space="0" w:color="auto"/>
        <w:bottom w:val="none" w:sz="0" w:space="0" w:color="auto"/>
        <w:right w:val="none" w:sz="0" w:space="0" w:color="auto"/>
      </w:divBdr>
      <w:divsChild>
        <w:div w:id="277688742">
          <w:marLeft w:val="0"/>
          <w:marRight w:val="0"/>
          <w:marTop w:val="0"/>
          <w:marBottom w:val="0"/>
          <w:divBdr>
            <w:top w:val="none" w:sz="0" w:space="0" w:color="auto"/>
            <w:left w:val="none" w:sz="0" w:space="0" w:color="auto"/>
            <w:bottom w:val="none" w:sz="0" w:space="0" w:color="auto"/>
            <w:right w:val="none" w:sz="0" w:space="0" w:color="auto"/>
          </w:divBdr>
          <w:divsChild>
            <w:div w:id="928461491">
              <w:marLeft w:val="0"/>
              <w:marRight w:val="0"/>
              <w:marTop w:val="0"/>
              <w:marBottom w:val="0"/>
              <w:divBdr>
                <w:top w:val="none" w:sz="0" w:space="0" w:color="auto"/>
                <w:left w:val="none" w:sz="0" w:space="0" w:color="auto"/>
                <w:bottom w:val="none" w:sz="0" w:space="0" w:color="auto"/>
                <w:right w:val="none" w:sz="0" w:space="0" w:color="auto"/>
              </w:divBdr>
              <w:divsChild>
                <w:div w:id="929504079">
                  <w:marLeft w:val="0"/>
                  <w:marRight w:val="0"/>
                  <w:marTop w:val="0"/>
                  <w:marBottom w:val="0"/>
                  <w:divBdr>
                    <w:top w:val="none" w:sz="0" w:space="0" w:color="auto"/>
                    <w:left w:val="none" w:sz="0" w:space="0" w:color="auto"/>
                    <w:bottom w:val="none" w:sz="0" w:space="0" w:color="auto"/>
                    <w:right w:val="none" w:sz="0" w:space="0" w:color="auto"/>
                  </w:divBdr>
                  <w:divsChild>
                    <w:div w:id="2012904278">
                      <w:marLeft w:val="180"/>
                      <w:marRight w:val="0"/>
                      <w:marTop w:val="0"/>
                      <w:marBottom w:val="0"/>
                      <w:divBdr>
                        <w:top w:val="none" w:sz="0" w:space="0" w:color="auto"/>
                        <w:left w:val="none" w:sz="0" w:space="0" w:color="auto"/>
                        <w:bottom w:val="none" w:sz="0" w:space="0" w:color="auto"/>
                        <w:right w:val="none" w:sz="0" w:space="0" w:color="auto"/>
                      </w:divBdr>
                      <w:divsChild>
                        <w:div w:id="65037142">
                          <w:marLeft w:val="0"/>
                          <w:marRight w:val="0"/>
                          <w:marTop w:val="0"/>
                          <w:marBottom w:val="0"/>
                          <w:divBdr>
                            <w:top w:val="none" w:sz="0" w:space="0" w:color="auto"/>
                            <w:left w:val="none" w:sz="0" w:space="0" w:color="auto"/>
                            <w:bottom w:val="none" w:sz="0" w:space="0" w:color="auto"/>
                            <w:right w:val="none" w:sz="0" w:space="0" w:color="auto"/>
                          </w:divBdr>
                          <w:divsChild>
                            <w:div w:id="1830831019">
                              <w:marLeft w:val="0"/>
                              <w:marRight w:val="0"/>
                              <w:marTop w:val="0"/>
                              <w:marBottom w:val="0"/>
                              <w:divBdr>
                                <w:top w:val="single" w:sz="2" w:space="15" w:color="ACACAD"/>
                                <w:left w:val="single" w:sz="6" w:space="0" w:color="ACACAD"/>
                                <w:bottom w:val="single" w:sz="6" w:space="8" w:color="ACACAD"/>
                                <w:right w:val="single" w:sz="6" w:space="0" w:color="ACACAD"/>
                              </w:divBdr>
                              <w:divsChild>
                                <w:div w:id="1394622665">
                                  <w:marLeft w:val="0"/>
                                  <w:marRight w:val="0"/>
                                  <w:marTop w:val="0"/>
                                  <w:marBottom w:val="0"/>
                                  <w:divBdr>
                                    <w:top w:val="none" w:sz="0" w:space="0" w:color="auto"/>
                                    <w:left w:val="none" w:sz="0" w:space="0" w:color="auto"/>
                                    <w:bottom w:val="none" w:sz="0" w:space="0" w:color="auto"/>
                                    <w:right w:val="none" w:sz="0" w:space="0" w:color="auto"/>
                                  </w:divBdr>
                                  <w:divsChild>
                                    <w:div w:id="1678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9264">
      <w:bodyDiv w:val="1"/>
      <w:marLeft w:val="0"/>
      <w:marRight w:val="0"/>
      <w:marTop w:val="0"/>
      <w:marBottom w:val="0"/>
      <w:divBdr>
        <w:top w:val="none" w:sz="0" w:space="0" w:color="auto"/>
        <w:left w:val="none" w:sz="0" w:space="0" w:color="auto"/>
        <w:bottom w:val="none" w:sz="0" w:space="0" w:color="auto"/>
        <w:right w:val="none" w:sz="0" w:space="0" w:color="auto"/>
      </w:divBdr>
      <w:divsChild>
        <w:div w:id="1999769389">
          <w:marLeft w:val="0"/>
          <w:marRight w:val="0"/>
          <w:marTop w:val="0"/>
          <w:marBottom w:val="0"/>
          <w:divBdr>
            <w:top w:val="none" w:sz="0" w:space="0" w:color="auto"/>
            <w:left w:val="none" w:sz="0" w:space="0" w:color="auto"/>
            <w:bottom w:val="none" w:sz="0" w:space="0" w:color="auto"/>
            <w:right w:val="none" w:sz="0" w:space="0" w:color="auto"/>
          </w:divBdr>
          <w:divsChild>
            <w:div w:id="173417658">
              <w:marLeft w:val="0"/>
              <w:marRight w:val="0"/>
              <w:marTop w:val="0"/>
              <w:marBottom w:val="0"/>
              <w:divBdr>
                <w:top w:val="none" w:sz="0" w:space="0" w:color="auto"/>
                <w:left w:val="none" w:sz="0" w:space="0" w:color="auto"/>
                <w:bottom w:val="none" w:sz="0" w:space="0" w:color="auto"/>
                <w:right w:val="none" w:sz="0" w:space="0" w:color="auto"/>
              </w:divBdr>
              <w:divsChild>
                <w:div w:id="339821166">
                  <w:marLeft w:val="0"/>
                  <w:marRight w:val="0"/>
                  <w:marTop w:val="0"/>
                  <w:marBottom w:val="0"/>
                  <w:divBdr>
                    <w:top w:val="none" w:sz="0" w:space="0" w:color="auto"/>
                    <w:left w:val="none" w:sz="0" w:space="0" w:color="auto"/>
                    <w:bottom w:val="none" w:sz="0" w:space="0" w:color="auto"/>
                    <w:right w:val="none" w:sz="0" w:space="0" w:color="auto"/>
                  </w:divBdr>
                  <w:divsChild>
                    <w:div w:id="1816796396">
                      <w:marLeft w:val="180"/>
                      <w:marRight w:val="0"/>
                      <w:marTop w:val="0"/>
                      <w:marBottom w:val="0"/>
                      <w:divBdr>
                        <w:top w:val="none" w:sz="0" w:space="0" w:color="auto"/>
                        <w:left w:val="none" w:sz="0" w:space="0" w:color="auto"/>
                        <w:bottom w:val="none" w:sz="0" w:space="0" w:color="auto"/>
                        <w:right w:val="none" w:sz="0" w:space="0" w:color="auto"/>
                      </w:divBdr>
                      <w:divsChild>
                        <w:div w:id="1917587913">
                          <w:marLeft w:val="0"/>
                          <w:marRight w:val="0"/>
                          <w:marTop w:val="0"/>
                          <w:marBottom w:val="0"/>
                          <w:divBdr>
                            <w:top w:val="none" w:sz="0" w:space="0" w:color="auto"/>
                            <w:left w:val="none" w:sz="0" w:space="0" w:color="auto"/>
                            <w:bottom w:val="none" w:sz="0" w:space="0" w:color="auto"/>
                            <w:right w:val="none" w:sz="0" w:space="0" w:color="auto"/>
                          </w:divBdr>
                          <w:divsChild>
                            <w:div w:id="181668741">
                              <w:marLeft w:val="0"/>
                              <w:marRight w:val="0"/>
                              <w:marTop w:val="0"/>
                              <w:marBottom w:val="0"/>
                              <w:divBdr>
                                <w:top w:val="single" w:sz="2" w:space="15" w:color="ACACAD"/>
                                <w:left w:val="single" w:sz="6" w:space="0" w:color="ACACAD"/>
                                <w:bottom w:val="single" w:sz="6" w:space="8" w:color="ACACAD"/>
                                <w:right w:val="single" w:sz="6" w:space="0" w:color="ACACAD"/>
                              </w:divBdr>
                              <w:divsChild>
                                <w:div w:id="719282226">
                                  <w:marLeft w:val="0"/>
                                  <w:marRight w:val="0"/>
                                  <w:marTop w:val="0"/>
                                  <w:marBottom w:val="0"/>
                                  <w:divBdr>
                                    <w:top w:val="none" w:sz="0" w:space="0" w:color="auto"/>
                                    <w:left w:val="none" w:sz="0" w:space="0" w:color="auto"/>
                                    <w:bottom w:val="none" w:sz="0" w:space="0" w:color="auto"/>
                                    <w:right w:val="none" w:sz="0" w:space="0" w:color="auto"/>
                                  </w:divBdr>
                                  <w:divsChild>
                                    <w:div w:id="5084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242645">
      <w:bodyDiv w:val="1"/>
      <w:marLeft w:val="0"/>
      <w:marRight w:val="0"/>
      <w:marTop w:val="0"/>
      <w:marBottom w:val="0"/>
      <w:divBdr>
        <w:top w:val="none" w:sz="0" w:space="0" w:color="auto"/>
        <w:left w:val="none" w:sz="0" w:space="0" w:color="auto"/>
        <w:bottom w:val="none" w:sz="0" w:space="0" w:color="auto"/>
        <w:right w:val="none" w:sz="0" w:space="0" w:color="auto"/>
      </w:divBdr>
    </w:div>
    <w:div w:id="1986544681">
      <w:bodyDiv w:val="1"/>
      <w:marLeft w:val="0"/>
      <w:marRight w:val="0"/>
      <w:marTop w:val="0"/>
      <w:marBottom w:val="0"/>
      <w:divBdr>
        <w:top w:val="none" w:sz="0" w:space="0" w:color="auto"/>
        <w:left w:val="none" w:sz="0" w:space="0" w:color="auto"/>
        <w:bottom w:val="none" w:sz="0" w:space="0" w:color="auto"/>
        <w:right w:val="none" w:sz="0" w:space="0" w:color="auto"/>
      </w:divBdr>
      <w:divsChild>
        <w:div w:id="232858376">
          <w:marLeft w:val="0"/>
          <w:marRight w:val="0"/>
          <w:marTop w:val="0"/>
          <w:marBottom w:val="0"/>
          <w:divBdr>
            <w:top w:val="none" w:sz="0" w:space="0" w:color="auto"/>
            <w:left w:val="none" w:sz="0" w:space="0" w:color="auto"/>
            <w:bottom w:val="none" w:sz="0" w:space="0" w:color="auto"/>
            <w:right w:val="none" w:sz="0" w:space="0" w:color="auto"/>
          </w:divBdr>
          <w:divsChild>
            <w:div w:id="1100218558">
              <w:marLeft w:val="0"/>
              <w:marRight w:val="0"/>
              <w:marTop w:val="0"/>
              <w:marBottom w:val="0"/>
              <w:divBdr>
                <w:top w:val="none" w:sz="0" w:space="0" w:color="auto"/>
                <w:left w:val="none" w:sz="0" w:space="0" w:color="auto"/>
                <w:bottom w:val="none" w:sz="0" w:space="0" w:color="auto"/>
                <w:right w:val="none" w:sz="0" w:space="0" w:color="auto"/>
              </w:divBdr>
              <w:divsChild>
                <w:div w:id="274363051">
                  <w:marLeft w:val="0"/>
                  <w:marRight w:val="0"/>
                  <w:marTop w:val="0"/>
                  <w:marBottom w:val="0"/>
                  <w:divBdr>
                    <w:top w:val="none" w:sz="0" w:space="0" w:color="auto"/>
                    <w:left w:val="none" w:sz="0" w:space="0" w:color="auto"/>
                    <w:bottom w:val="none" w:sz="0" w:space="0" w:color="auto"/>
                    <w:right w:val="none" w:sz="0" w:space="0" w:color="auto"/>
                  </w:divBdr>
                  <w:divsChild>
                    <w:div w:id="726535453">
                      <w:marLeft w:val="180"/>
                      <w:marRight w:val="0"/>
                      <w:marTop w:val="0"/>
                      <w:marBottom w:val="0"/>
                      <w:divBdr>
                        <w:top w:val="none" w:sz="0" w:space="0" w:color="auto"/>
                        <w:left w:val="none" w:sz="0" w:space="0" w:color="auto"/>
                        <w:bottom w:val="none" w:sz="0" w:space="0" w:color="auto"/>
                        <w:right w:val="none" w:sz="0" w:space="0" w:color="auto"/>
                      </w:divBdr>
                      <w:divsChild>
                        <w:div w:id="278029287">
                          <w:marLeft w:val="0"/>
                          <w:marRight w:val="0"/>
                          <w:marTop w:val="0"/>
                          <w:marBottom w:val="0"/>
                          <w:divBdr>
                            <w:top w:val="none" w:sz="0" w:space="0" w:color="auto"/>
                            <w:left w:val="none" w:sz="0" w:space="0" w:color="auto"/>
                            <w:bottom w:val="none" w:sz="0" w:space="0" w:color="auto"/>
                            <w:right w:val="none" w:sz="0" w:space="0" w:color="auto"/>
                          </w:divBdr>
                          <w:divsChild>
                            <w:div w:id="113644786">
                              <w:marLeft w:val="0"/>
                              <w:marRight w:val="0"/>
                              <w:marTop w:val="0"/>
                              <w:marBottom w:val="0"/>
                              <w:divBdr>
                                <w:top w:val="single" w:sz="2" w:space="15" w:color="ACACAD"/>
                                <w:left w:val="single" w:sz="6" w:space="0" w:color="ACACAD"/>
                                <w:bottom w:val="single" w:sz="6" w:space="8" w:color="ACACAD"/>
                                <w:right w:val="single" w:sz="6" w:space="0" w:color="ACACAD"/>
                              </w:divBdr>
                              <w:divsChild>
                                <w:div w:id="232548790">
                                  <w:marLeft w:val="0"/>
                                  <w:marRight w:val="0"/>
                                  <w:marTop w:val="0"/>
                                  <w:marBottom w:val="0"/>
                                  <w:divBdr>
                                    <w:top w:val="none" w:sz="0" w:space="0" w:color="auto"/>
                                    <w:left w:val="none" w:sz="0" w:space="0" w:color="auto"/>
                                    <w:bottom w:val="none" w:sz="0" w:space="0" w:color="auto"/>
                                    <w:right w:val="none" w:sz="0" w:space="0" w:color="auto"/>
                                  </w:divBdr>
                                  <w:divsChild>
                                    <w:div w:id="1075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chicagomanualofstyle.org/hom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50673-1A9D-48AC-81A4-9B9FDD92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Pages>
  <Words>1722</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Paper Number</vt:lpstr>
    </vt:vector>
  </TitlesOfParts>
  <Company>SAE International</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Number</dc:title>
  <dc:subject/>
  <dc:creator>Zak Kulin</dc:creator>
  <cp:keywords/>
  <dc:description/>
  <cp:lastModifiedBy>张鹤扬</cp:lastModifiedBy>
  <cp:revision>1</cp:revision>
  <cp:lastPrinted>2015-07-23T12:51:00Z</cp:lastPrinted>
  <dcterms:created xsi:type="dcterms:W3CDTF">2025-07-10T13:35:00Z</dcterms:created>
  <dcterms:modified xsi:type="dcterms:W3CDTF">2026-03-03T07:48:00Z</dcterms:modified>
</cp:coreProperties>
</file>