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0C275" w14:textId="6BA5F5B9" w:rsidR="0085613D" w:rsidRDefault="00885CB4">
      <w:pPr>
        <w:rPr>
          <w:b/>
          <w:bCs/>
        </w:rPr>
      </w:pPr>
      <w:r>
        <w:rPr>
          <w:b/>
          <w:bCs/>
        </w:rPr>
        <w:t>Punto 1:</w:t>
      </w:r>
    </w:p>
    <w:p w14:paraId="5A2D443C" w14:textId="55DDC1F2" w:rsidR="00885CB4" w:rsidRDefault="00ED2756">
      <w:r>
        <w:t xml:space="preserve">En </w:t>
      </w:r>
      <w:r w:rsidR="00346CE0">
        <w:t xml:space="preserve">la tabla </w:t>
      </w:r>
      <w:r>
        <w:t xml:space="preserve">1 observamos la distribución del ingreso per cápita familiar por deciles, es decir, dividir a la población en 10 partes idénticas. Este análisis brinda un panorama respecto a cómo varía el ingreso desde el 10% más pobre hasta el 10% situado en la parte superior de la tabla. </w:t>
      </w:r>
    </w:p>
    <w:p w14:paraId="6B24AA89" w14:textId="24CAA98E" w:rsidR="00346CE0" w:rsidRDefault="00346CE0"/>
    <w:p w14:paraId="1F588044" w14:textId="24E2FB65" w:rsidR="00346CE0" w:rsidRDefault="00346CE0">
      <w:r>
        <w:t>Tabla 1: Promedio y participación en el ingreso de cada decil de la distribución.</w:t>
      </w:r>
    </w:p>
    <w:p w14:paraId="67B02F4E" w14:textId="21232539" w:rsidR="00346CE0" w:rsidRDefault="00346CE0">
      <w:r>
        <w:rPr>
          <w:noProof/>
        </w:rPr>
        <w:drawing>
          <wp:inline distT="0" distB="0" distL="0" distR="0" wp14:anchorId="132A0A6A" wp14:editId="01AA29C2">
            <wp:extent cx="5324475" cy="3361607"/>
            <wp:effectExtent l="0" t="0" r="0" b="0"/>
            <wp:docPr id="279286518" name="Imagen 1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456" cy="336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7A8A" w14:textId="223F2C9F" w:rsidR="00346CE0" w:rsidRDefault="00346CE0" w:rsidP="00346CE0">
      <w:pPr>
        <w:jc w:val="both"/>
      </w:pPr>
      <w:r>
        <w:t xml:space="preserve">La media del ingreso per cápita familiar para el decil 1 es $1.778, lo que se corresponde con una participación en el ingreso total de 1,77%. En el extremo opuesto, el 10% más rico tiene un ingreso per cápita familiar promedio de $32.978, lo que equivale a un 32,6% del ingreso total. Utilizando el </w:t>
      </w:r>
      <w:r>
        <w:rPr>
          <w:i/>
          <w:iCs/>
        </w:rPr>
        <w:t>cociente de deciles extremos</w:t>
      </w:r>
      <w:r>
        <w:t xml:space="preserve"> obtenemos a cuánto equivale en términos relativos la media de ingreso del sector de mayor poder adquisitivo respecto al decil en el extremo inferior de la distribución:</w:t>
      </w:r>
    </w:p>
    <w:p w14:paraId="460FB01B" w14:textId="17E0D9DF" w:rsidR="00346CE0" w:rsidRPr="00346CE0" w:rsidRDefault="00346CE0" w:rsidP="00346CE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CDE=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093142B" w14:textId="304C3831" w:rsidR="005D198D" w:rsidRDefault="00346CE0" w:rsidP="00346CE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siendo el ingreso promedio del decil 10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siendo la media de ingreso del decil 1. El resultado es 18,44</w:t>
      </w:r>
      <w:r w:rsidR="005D198D">
        <w:rPr>
          <w:rFonts w:eastAsiaTheme="minorEastAsia"/>
        </w:rPr>
        <w:t xml:space="preserve"> o,</w:t>
      </w:r>
      <w:r>
        <w:rPr>
          <w:rFonts w:eastAsiaTheme="minorEastAsia"/>
        </w:rPr>
        <w:t xml:space="preserve"> dicho de otra manera, el ingreso per cápita familiar promedio en el extremo superior de la distribución equivale a</w:t>
      </w:r>
      <w:r w:rsidR="005D198D">
        <w:rPr>
          <w:rFonts w:eastAsiaTheme="minorEastAsia"/>
        </w:rPr>
        <w:t xml:space="preserve"> 18 veces el ingreso per cápita familiar promedio que percibe la parte inferior de la población. </w:t>
      </w:r>
    </w:p>
    <w:p w14:paraId="16ADDD0F" w14:textId="7C8448C8" w:rsidR="005D198D" w:rsidRDefault="005D198D" w:rsidP="00346CE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Un dato interesante que destacar es cómo varía la media entre deciles, particularmente cuando se llega a la octava parte de la distribución. Mientras que hasta el decil 7 el cambio en el ingreso promedio era inferior a 2000 unidades monetarias, a partir del decil 8 el cambio es superior dicho umbral. Respecto al decil 9, la tasa de cambio es incluso mayor, y respecto al decil 10 prácticamente se duplica. En otras palabras, hasta el </w:t>
      </w:r>
      <w:r w:rsidR="001B681B">
        <w:rPr>
          <w:rFonts w:eastAsiaTheme="minorEastAsia"/>
        </w:rPr>
        <w:t>7</w:t>
      </w:r>
      <w:r>
        <w:rPr>
          <w:rFonts w:eastAsiaTheme="minorEastAsia"/>
        </w:rPr>
        <w:t xml:space="preserve">0% de la población se evidencia un crecimiento aproximadamente lineal, para posteriormente crecer de manera exponencial. </w:t>
      </w:r>
    </w:p>
    <w:p w14:paraId="3324E3DD" w14:textId="77777777" w:rsidR="00F539F7" w:rsidRDefault="00F539F7" w:rsidP="00346CE0">
      <w:pPr>
        <w:jc w:val="both"/>
        <w:rPr>
          <w:rFonts w:eastAsiaTheme="minorEastAsia"/>
        </w:rPr>
      </w:pPr>
    </w:p>
    <w:p w14:paraId="0F1EE4EB" w14:textId="3D030E77" w:rsidR="00F539F7" w:rsidRDefault="00666C05" w:rsidP="00346CE0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Punto 2:</w:t>
      </w:r>
    </w:p>
    <w:p w14:paraId="702665A3" w14:textId="16D0DF65" w:rsidR="00A9576B" w:rsidRDefault="00A9576B" w:rsidP="00346CE0">
      <w:pPr>
        <w:jc w:val="both"/>
        <w:rPr>
          <w:rFonts w:eastAsiaTheme="minorEastAsia"/>
        </w:rPr>
      </w:pPr>
      <w:r>
        <w:rPr>
          <w:rFonts w:eastAsiaTheme="minorEastAsia"/>
        </w:rPr>
        <w:t>Centremos ahora la atención en el consumo, específicamente en el consumo per cápita familiar entre deciles. La tabla 2 resume la media de consumo y la participación por grupo en dicha variable:</w:t>
      </w:r>
    </w:p>
    <w:p w14:paraId="639DCC94" w14:textId="6B3F35FD" w:rsidR="003B416E" w:rsidRDefault="003B416E" w:rsidP="00346CE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Tabla 2: </w:t>
      </w:r>
      <w:r>
        <w:t>Promedio y participación en el consumo de cada decil de la distribución.</w:t>
      </w:r>
    </w:p>
    <w:p w14:paraId="2AC1A8F2" w14:textId="746170FE" w:rsidR="00A9576B" w:rsidRDefault="008012B8" w:rsidP="00346CE0">
      <w:pPr>
        <w:jc w:val="both"/>
        <w:rPr>
          <w:rFonts w:eastAsiaTheme="minorEastAsia"/>
        </w:rPr>
      </w:pPr>
      <w:r w:rsidRPr="008012B8">
        <w:rPr>
          <w:rFonts w:eastAsiaTheme="minorEastAsia"/>
          <w:noProof/>
        </w:rPr>
        <w:drawing>
          <wp:inline distT="0" distB="0" distL="0" distR="0" wp14:anchorId="5938AD85" wp14:editId="4DEA2124">
            <wp:extent cx="5400040" cy="1609725"/>
            <wp:effectExtent l="0" t="0" r="0" b="9525"/>
            <wp:docPr id="68264274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42740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5587" w14:textId="77777777" w:rsidR="006A689B" w:rsidRDefault="008012B8" w:rsidP="008C2D4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 total se corresponde con el monto monetario per cápita consumido de todos los individuos que conforman </w:t>
      </w:r>
      <w:r w:rsidR="006D7A3B">
        <w:rPr>
          <w:rFonts w:eastAsiaTheme="minorEastAsia"/>
        </w:rPr>
        <w:t>cada decil. Tomemos el 10% de la población que se encuentra en el extremo inferior de la distribución. Este grupo tiene una media de consumo per cápita familiar de $1.232, que es equivalente a una participación sobre el total de 1,6%. En el extremo superior, el 10% más rico tiene un consumo promedio de $25.420,43 y concentra el 32,96% respecto al total. Utilizando nuevamente el cociente de deciles extremos del punto 1, una persona en el extremo más rico tiene, en promedio, un consumo que es equivalente a 21 veces el consumo de un sujeto en la parte más baja de la distribución (CDE = 20,63).</w:t>
      </w:r>
      <w:r w:rsidR="008C2D4D">
        <w:rPr>
          <w:rFonts w:eastAsiaTheme="minorEastAsia"/>
        </w:rPr>
        <w:t xml:space="preserve"> </w:t>
      </w:r>
    </w:p>
    <w:p w14:paraId="6D3403F9" w14:textId="6088EDE1" w:rsidR="00E17170" w:rsidRDefault="00E17170" w:rsidP="008C2D4D">
      <w:pPr>
        <w:jc w:val="both"/>
        <w:rPr>
          <w:rFonts w:eastAsiaTheme="minorEastAsia"/>
        </w:rPr>
      </w:pPr>
      <w:r>
        <w:rPr>
          <w:rFonts w:eastAsiaTheme="minorEastAsia"/>
        </w:rPr>
        <w:t>Este cociente es más grande que el calculado para el ingreso, contrariando la evidencia recopilada en Gasparini</w:t>
      </w:r>
      <w:r w:rsidR="001B681B">
        <w:rPr>
          <w:rFonts w:eastAsiaTheme="minorEastAsia"/>
        </w:rPr>
        <w:t xml:space="preserve"> et al.</w:t>
      </w:r>
      <w:r>
        <w:rPr>
          <w:rFonts w:eastAsiaTheme="minorEastAsia"/>
        </w:rPr>
        <w:t xml:space="preserve"> (2012), donde los países de América Latina presentan mayor distancia entre ingresos extremos </w:t>
      </w:r>
      <w:r w:rsidR="00681EB5">
        <w:rPr>
          <w:rFonts w:eastAsiaTheme="minorEastAsia"/>
        </w:rPr>
        <w:t>que el observado para</w:t>
      </w:r>
      <w:r>
        <w:rPr>
          <w:rFonts w:eastAsiaTheme="minorEastAsia"/>
        </w:rPr>
        <w:t xml:space="preserve"> </w:t>
      </w:r>
      <w:r w:rsidR="00681EB5">
        <w:rPr>
          <w:rFonts w:eastAsiaTheme="minorEastAsia"/>
        </w:rPr>
        <w:t>e</w:t>
      </w:r>
      <w:r>
        <w:rPr>
          <w:rFonts w:eastAsiaTheme="minorEastAsia"/>
        </w:rPr>
        <w:t xml:space="preserve">l consumo. </w:t>
      </w:r>
      <w:r w:rsidR="00107A03">
        <w:rPr>
          <w:rFonts w:eastAsiaTheme="minorEastAsia"/>
        </w:rPr>
        <w:t xml:space="preserve">Sin embargo, los autores también señalan que </w:t>
      </w:r>
      <w:r w:rsidR="00681EB5">
        <w:rPr>
          <w:rFonts w:eastAsiaTheme="minorEastAsia"/>
        </w:rPr>
        <w:t xml:space="preserve">los ingresos pueden ser influenciados por factores coyunturales, además de que las respuestas en una encuesta (como la </w:t>
      </w:r>
      <w:proofErr w:type="spellStart"/>
      <w:r w:rsidR="00681EB5">
        <w:rPr>
          <w:rFonts w:eastAsiaTheme="minorEastAsia"/>
        </w:rPr>
        <w:t>ENGHo</w:t>
      </w:r>
      <w:proofErr w:type="spellEnd"/>
      <w:r w:rsidR="00681EB5">
        <w:rPr>
          <w:rFonts w:eastAsiaTheme="minorEastAsia"/>
        </w:rPr>
        <w:t xml:space="preserve">) suele mostrar mayor inexactitud en esta variable que en el consumo. </w:t>
      </w:r>
    </w:p>
    <w:p w14:paraId="6A3C6459" w14:textId="42AECE72" w:rsidR="006A689B" w:rsidRDefault="006A689B" w:rsidP="008C2D4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Por otro lado, el consumo se encuentra más concentrado en los 3 deciles más altos, es decir, el 30% de la población concentra el 63% del consumo total mientras que para el ingreso este </w:t>
      </w:r>
      <w:r>
        <w:rPr>
          <w:rFonts w:eastAsiaTheme="minorEastAsia"/>
          <w:i/>
          <w:iCs/>
        </w:rPr>
        <w:t>share</w:t>
      </w:r>
      <w:r>
        <w:rPr>
          <w:rFonts w:eastAsiaTheme="minorEastAsia"/>
        </w:rPr>
        <w:t xml:space="preserve"> es igual a 61,4%. Por otro lado, vemos que los sectores más ricos consumen una proporción mayor de su ingreso que los sectores más vulnerables. Por ejemplo, el decil 10 consume el 77,5% de su ingreso, mientras que para el decil 1 dicha proporción se reduce al 69,3%. </w:t>
      </w:r>
    </w:p>
    <w:p w14:paraId="0A248D4E" w14:textId="78FB5DA8" w:rsidR="008C2D4D" w:rsidRDefault="008C2D4D" w:rsidP="008C2D4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Por </w:t>
      </w:r>
      <w:r w:rsidR="006A689B">
        <w:rPr>
          <w:rFonts w:eastAsiaTheme="minorEastAsia"/>
        </w:rPr>
        <w:t>último</w:t>
      </w:r>
      <w:r>
        <w:rPr>
          <w:rFonts w:eastAsiaTheme="minorEastAsia"/>
        </w:rPr>
        <w:t xml:space="preserve">, </w:t>
      </w:r>
      <w:r w:rsidR="006A689B">
        <w:rPr>
          <w:rFonts w:eastAsiaTheme="minorEastAsia"/>
        </w:rPr>
        <w:t xml:space="preserve">se evidencia también que </w:t>
      </w:r>
      <w:r>
        <w:rPr>
          <w:rFonts w:eastAsiaTheme="minorEastAsia"/>
        </w:rPr>
        <w:t xml:space="preserve">la tasa de cambio del consumo entre deciles crece de forma aproximadamente lineal hasta alcanzar el decil 10 donde se exhibe un crecimiento exponencial.  </w:t>
      </w:r>
    </w:p>
    <w:p w14:paraId="31F472F8" w14:textId="77777777" w:rsidR="00685C2E" w:rsidRDefault="00685C2E" w:rsidP="00346CE0">
      <w:pPr>
        <w:jc w:val="both"/>
        <w:rPr>
          <w:rFonts w:eastAsiaTheme="minorEastAsia"/>
        </w:rPr>
      </w:pPr>
    </w:p>
    <w:p w14:paraId="279D5EBB" w14:textId="77777777" w:rsidR="00685C2E" w:rsidRDefault="00685C2E" w:rsidP="00346CE0">
      <w:pPr>
        <w:jc w:val="both"/>
        <w:rPr>
          <w:rFonts w:eastAsiaTheme="minorEastAsia"/>
        </w:rPr>
      </w:pPr>
    </w:p>
    <w:p w14:paraId="73324432" w14:textId="77777777" w:rsidR="00685C2E" w:rsidRDefault="00685C2E" w:rsidP="00346CE0">
      <w:pPr>
        <w:jc w:val="both"/>
        <w:rPr>
          <w:rFonts w:eastAsiaTheme="minorEastAsia"/>
        </w:rPr>
      </w:pPr>
    </w:p>
    <w:p w14:paraId="4681B6C1" w14:textId="77777777" w:rsidR="00685C2E" w:rsidRDefault="00685C2E" w:rsidP="00346CE0">
      <w:pPr>
        <w:jc w:val="both"/>
        <w:rPr>
          <w:rFonts w:eastAsiaTheme="minorEastAsia"/>
        </w:rPr>
      </w:pPr>
    </w:p>
    <w:p w14:paraId="17B1E3B8" w14:textId="77777777" w:rsidR="00685C2E" w:rsidRDefault="00685C2E" w:rsidP="00346CE0">
      <w:pPr>
        <w:jc w:val="both"/>
        <w:rPr>
          <w:rFonts w:eastAsiaTheme="minorEastAsia"/>
        </w:rPr>
      </w:pPr>
    </w:p>
    <w:p w14:paraId="2FADF4F6" w14:textId="77777777" w:rsidR="00685C2E" w:rsidRDefault="00685C2E" w:rsidP="00346CE0">
      <w:pPr>
        <w:jc w:val="both"/>
        <w:rPr>
          <w:rFonts w:eastAsiaTheme="minorEastAsia"/>
        </w:rPr>
      </w:pPr>
    </w:p>
    <w:p w14:paraId="44C7C048" w14:textId="0EDAACCA" w:rsidR="00685C2E" w:rsidRDefault="00685C2E" w:rsidP="00346CE0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Punto 3:</w:t>
      </w:r>
    </w:p>
    <w:p w14:paraId="3EEEBBEE" w14:textId="0058ADD6" w:rsidR="00995D99" w:rsidRDefault="001B681B" w:rsidP="00346CE0">
      <w:pPr>
        <w:jc w:val="both"/>
        <w:rPr>
          <w:rFonts w:eastAsiaTheme="minorEastAsia"/>
        </w:rPr>
      </w:pPr>
      <w:r w:rsidRPr="001B681B">
        <w:rPr>
          <w:rFonts w:eastAsiaTheme="minorEastAsia"/>
        </w:rPr>
        <w:t>La</w:t>
      </w:r>
      <w:r>
        <w:rPr>
          <w:rFonts w:eastAsiaTheme="minorEastAsia"/>
        </w:rPr>
        <w:t xml:space="preserve"> Ley de Engel corresponde con la relación inversa entre la proporción del gasto en alimentos y el ingreso, es decir, a medida que este último se incrementa el </w:t>
      </w:r>
      <w:r>
        <w:rPr>
          <w:rFonts w:eastAsiaTheme="minorEastAsia"/>
          <w:i/>
          <w:iCs/>
        </w:rPr>
        <w:t>share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alimentario</w:t>
      </w:r>
      <w:r>
        <w:rPr>
          <w:rFonts w:eastAsiaTheme="minorEastAsia"/>
        </w:rPr>
        <w:t xml:space="preserve"> se reduce</w:t>
      </w:r>
      <w:r w:rsidR="00465EDE">
        <w:rPr>
          <w:rFonts w:eastAsiaTheme="minorEastAsia"/>
        </w:rPr>
        <w:t xml:space="preserve"> (Gasparini et al., 2012)</w:t>
      </w:r>
      <w:r>
        <w:rPr>
          <w:rFonts w:eastAsiaTheme="minorEastAsia"/>
        </w:rPr>
        <w:t xml:space="preserve">. </w:t>
      </w:r>
      <w:r w:rsidR="00995D99">
        <w:rPr>
          <w:rFonts w:eastAsiaTheme="minorEastAsia"/>
        </w:rPr>
        <w:t>Utilizando la Encuesta Nacional de Gastos de Hogares, calculamos la proporción promedio del gasto en alimentos por decil de consumo (véase tabla 3).</w:t>
      </w:r>
    </w:p>
    <w:p w14:paraId="04CA72D5" w14:textId="7048571B" w:rsidR="003B416E" w:rsidRDefault="003B416E" w:rsidP="00346CE0">
      <w:pPr>
        <w:jc w:val="both"/>
        <w:rPr>
          <w:rFonts w:eastAsiaTheme="minorEastAsia"/>
        </w:rPr>
      </w:pPr>
      <w:r>
        <w:rPr>
          <w:rFonts w:eastAsiaTheme="minorEastAsia"/>
        </w:rPr>
        <w:t>Tabla 3: Proporción del gasto en alimentos promedio por deciles.</w:t>
      </w:r>
    </w:p>
    <w:p w14:paraId="71543440" w14:textId="519FE8E4" w:rsidR="00995D99" w:rsidRDefault="00995D99" w:rsidP="00346CE0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570B71AA" wp14:editId="21D3D2E7">
            <wp:extent cx="4886325" cy="2775276"/>
            <wp:effectExtent l="0" t="0" r="0" b="6350"/>
            <wp:docPr id="948519132" name="Imagen 3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370" cy="277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7F45" w14:textId="6B27F5E4" w:rsidR="009C328A" w:rsidRDefault="00CB1A5B" w:rsidP="00BD14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 decil 1 tiene una participación promedio del consumo en alimentos del 37,8% respecto de su ingreso. En caso contrario, el decil de mayores ingresos </w:t>
      </w:r>
      <w:r w:rsidR="009C328A">
        <w:rPr>
          <w:rFonts w:eastAsiaTheme="minorEastAsia"/>
        </w:rPr>
        <w:t xml:space="preserve">tiene un </w:t>
      </w:r>
      <w:r w:rsidR="009C328A">
        <w:rPr>
          <w:rFonts w:eastAsiaTheme="minorEastAsia"/>
          <w:i/>
          <w:iCs/>
        </w:rPr>
        <w:t>share</w:t>
      </w:r>
      <w:r w:rsidR="009C328A">
        <w:rPr>
          <w:rFonts w:eastAsiaTheme="minorEastAsia"/>
        </w:rPr>
        <w:t xml:space="preserve"> de alimentos de 15,8%. Si nos detenemos en cada</w:t>
      </w:r>
      <w:r w:rsidR="0042423D">
        <w:rPr>
          <w:rFonts w:eastAsiaTheme="minorEastAsia"/>
        </w:rPr>
        <w:t xml:space="preserve"> decil en particular, vemos que la proporción se va reduciendo a medida a medida que se avanza </w:t>
      </w:r>
      <w:r w:rsidR="0076081A">
        <w:rPr>
          <w:rFonts w:eastAsiaTheme="minorEastAsia"/>
        </w:rPr>
        <w:t>a lo largo de</w:t>
      </w:r>
      <w:r w:rsidR="0042423D">
        <w:rPr>
          <w:rFonts w:eastAsiaTheme="minorEastAsia"/>
        </w:rPr>
        <w:t xml:space="preserve"> los deciles. </w:t>
      </w:r>
    </w:p>
    <w:p w14:paraId="0968F5EB" w14:textId="54137AEA" w:rsidR="0042423D" w:rsidRPr="009C328A" w:rsidRDefault="009A7261" w:rsidP="00346CE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conclusión, utilizando la </w:t>
      </w:r>
      <w:proofErr w:type="spellStart"/>
      <w:r>
        <w:rPr>
          <w:rFonts w:eastAsiaTheme="minorEastAsia"/>
        </w:rPr>
        <w:t>ENGHo</w:t>
      </w:r>
      <w:proofErr w:type="spellEnd"/>
      <w:r>
        <w:rPr>
          <w:rFonts w:eastAsiaTheme="minorEastAsia"/>
        </w:rPr>
        <w:t xml:space="preserve"> vemos que para el gasto en alimentos se reduce mientras </w:t>
      </w:r>
      <w:r w:rsidR="0076081A">
        <w:rPr>
          <w:rFonts w:eastAsiaTheme="minorEastAsia"/>
        </w:rPr>
        <w:t>se avanza en la posición de los deciles (lo que es equivalente a que se incremente el ingreso)</w:t>
      </w:r>
      <w:r>
        <w:rPr>
          <w:rFonts w:eastAsiaTheme="minorEastAsia"/>
        </w:rPr>
        <w:t xml:space="preserve">, evidenciando la Ley de Engel. </w:t>
      </w:r>
    </w:p>
    <w:p w14:paraId="1D6C9AE7" w14:textId="77777777" w:rsidR="00666C05" w:rsidRPr="00666C05" w:rsidRDefault="00666C05" w:rsidP="00346CE0">
      <w:pPr>
        <w:jc w:val="both"/>
        <w:rPr>
          <w:rFonts w:eastAsiaTheme="minorEastAsia"/>
          <w:b/>
          <w:bCs/>
        </w:rPr>
      </w:pPr>
    </w:p>
    <w:p w14:paraId="35DACA67" w14:textId="77777777" w:rsidR="005D198D" w:rsidRDefault="005D198D" w:rsidP="00346CE0">
      <w:pPr>
        <w:jc w:val="both"/>
        <w:rPr>
          <w:rFonts w:eastAsiaTheme="minorEastAsia"/>
        </w:rPr>
      </w:pPr>
    </w:p>
    <w:p w14:paraId="08415C74" w14:textId="3802DADD" w:rsidR="00346CE0" w:rsidRDefault="005D198D" w:rsidP="00346CE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C269FC6" w14:textId="77777777" w:rsidR="005D198D" w:rsidRDefault="005D198D" w:rsidP="00346CE0">
      <w:pPr>
        <w:jc w:val="both"/>
        <w:rPr>
          <w:rFonts w:eastAsiaTheme="minorEastAsia"/>
        </w:rPr>
      </w:pPr>
    </w:p>
    <w:p w14:paraId="139E3274" w14:textId="77777777" w:rsidR="005D198D" w:rsidRDefault="005D198D" w:rsidP="00346CE0">
      <w:pPr>
        <w:jc w:val="both"/>
        <w:rPr>
          <w:rFonts w:eastAsiaTheme="minorEastAsia"/>
        </w:rPr>
      </w:pPr>
    </w:p>
    <w:p w14:paraId="6F577F26" w14:textId="77777777" w:rsidR="005D198D" w:rsidRDefault="005D198D" w:rsidP="00346CE0">
      <w:pPr>
        <w:jc w:val="both"/>
        <w:rPr>
          <w:rFonts w:eastAsiaTheme="minorEastAsia"/>
        </w:rPr>
      </w:pPr>
    </w:p>
    <w:p w14:paraId="7CA28081" w14:textId="77777777" w:rsidR="005D198D" w:rsidRPr="00346CE0" w:rsidRDefault="005D198D" w:rsidP="00346CE0">
      <w:pPr>
        <w:jc w:val="both"/>
        <w:rPr>
          <w:rFonts w:eastAsiaTheme="minorEastAsia"/>
        </w:rPr>
      </w:pPr>
    </w:p>
    <w:p w14:paraId="15480D97" w14:textId="77777777" w:rsidR="00346CE0" w:rsidRPr="00346CE0" w:rsidRDefault="00346CE0" w:rsidP="00346CE0">
      <w:pPr>
        <w:jc w:val="both"/>
        <w:rPr>
          <w:rFonts w:eastAsiaTheme="minorEastAsia"/>
        </w:rPr>
      </w:pPr>
    </w:p>
    <w:p w14:paraId="3FED5C26" w14:textId="2B71C141" w:rsidR="00346CE0" w:rsidRPr="00346CE0" w:rsidRDefault="00346CE0" w:rsidP="00346CE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14:paraId="6FE6723D" w14:textId="77777777" w:rsidR="00346CE0" w:rsidRPr="00346CE0" w:rsidRDefault="00346CE0" w:rsidP="00346CE0">
      <w:pPr>
        <w:jc w:val="both"/>
        <w:rPr>
          <w:rFonts w:eastAsiaTheme="minorEastAsia"/>
        </w:rPr>
      </w:pPr>
    </w:p>
    <w:sectPr w:rsidR="00346CE0" w:rsidRPr="00346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BE"/>
    <w:rsid w:val="00071D90"/>
    <w:rsid w:val="00107A03"/>
    <w:rsid w:val="00134762"/>
    <w:rsid w:val="001B681B"/>
    <w:rsid w:val="00346CE0"/>
    <w:rsid w:val="003B416E"/>
    <w:rsid w:val="0042423D"/>
    <w:rsid w:val="00465EDE"/>
    <w:rsid w:val="004A7641"/>
    <w:rsid w:val="00531871"/>
    <w:rsid w:val="00562EB1"/>
    <w:rsid w:val="005D198D"/>
    <w:rsid w:val="00666C05"/>
    <w:rsid w:val="00681EB5"/>
    <w:rsid w:val="00685C2E"/>
    <w:rsid w:val="006A689B"/>
    <w:rsid w:val="006D7A3B"/>
    <w:rsid w:val="0076081A"/>
    <w:rsid w:val="008012B8"/>
    <w:rsid w:val="0085613D"/>
    <w:rsid w:val="00885CB4"/>
    <w:rsid w:val="008C2D4D"/>
    <w:rsid w:val="00995D99"/>
    <w:rsid w:val="009A7261"/>
    <w:rsid w:val="009C328A"/>
    <w:rsid w:val="00A9576B"/>
    <w:rsid w:val="00B00DBE"/>
    <w:rsid w:val="00B31F60"/>
    <w:rsid w:val="00BD1479"/>
    <w:rsid w:val="00C84B78"/>
    <w:rsid w:val="00CB1A5B"/>
    <w:rsid w:val="00E17170"/>
    <w:rsid w:val="00E46D37"/>
    <w:rsid w:val="00E67411"/>
    <w:rsid w:val="00ED2756"/>
    <w:rsid w:val="00F5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AE7C"/>
  <w15:chartTrackingRefBased/>
  <w15:docId w15:val="{5BECA4D5-F18B-49FF-8A45-1ABAA25F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0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0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0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0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0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0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0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0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0D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0D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0D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0D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0D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0D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0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0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0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0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0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0D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0D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0D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0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0D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0DBE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46C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Matias Bohorquez</dc:creator>
  <cp:keywords/>
  <dc:description/>
  <cp:lastModifiedBy>Emiliano Matias Bohorquez</cp:lastModifiedBy>
  <cp:revision>26</cp:revision>
  <dcterms:created xsi:type="dcterms:W3CDTF">2024-10-21T21:24:00Z</dcterms:created>
  <dcterms:modified xsi:type="dcterms:W3CDTF">2024-10-23T01:08:00Z</dcterms:modified>
</cp:coreProperties>
</file>