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3270D" w14:textId="3C89C3DF" w:rsidR="0085613D" w:rsidRDefault="00CB1F59" w:rsidP="00CB1F59">
      <w:pPr>
        <w:spacing w:after="0"/>
        <w:rPr>
          <w:b/>
          <w:bCs/>
        </w:rPr>
      </w:pPr>
      <w:r>
        <w:rPr>
          <w:b/>
          <w:bCs/>
        </w:rPr>
        <w:t>Punto 2</w:t>
      </w:r>
    </w:p>
    <w:p w14:paraId="125AD5B3" w14:textId="77777777" w:rsidR="00CB1F59" w:rsidRDefault="00CB1F59" w:rsidP="00CB1F59">
      <w:pPr>
        <w:spacing w:after="0"/>
        <w:rPr>
          <w:b/>
          <w:bCs/>
        </w:rPr>
      </w:pPr>
    </w:p>
    <w:p w14:paraId="74EE0B77" w14:textId="77777777" w:rsidR="00F266E8" w:rsidRDefault="00316B23" w:rsidP="00CB1F59">
      <w:pPr>
        <w:spacing w:after="0"/>
      </w:pPr>
      <w:r>
        <w:t xml:space="preserve">En esta sección se estimará de forma paramétrica la ecuación de </w:t>
      </w:r>
      <w:proofErr w:type="spellStart"/>
      <w:r>
        <w:t>Mincer</w:t>
      </w:r>
      <w:proofErr w:type="spellEnd"/>
      <w:r>
        <w:t>, la cual relaciona los ingresos con características tales como la educación, la experiencia, la edad y el género. Una vez regresado el modelo, se predice el ingreso per cápita familiar de una persona d</w:t>
      </w:r>
      <w:r w:rsidR="00F266E8">
        <w:t xml:space="preserve">ado los factores mencionados, y se calculan los residuales resultantes. </w:t>
      </w:r>
    </w:p>
    <w:p w14:paraId="4C394962" w14:textId="77777777" w:rsidR="00F266E8" w:rsidRDefault="00F266E8" w:rsidP="00CB1F59">
      <w:pPr>
        <w:spacing w:after="0"/>
      </w:pPr>
    </w:p>
    <w:p w14:paraId="3DFD4C55" w14:textId="1A2DBE4D" w:rsidR="00316B23" w:rsidRPr="00316B23" w:rsidRDefault="00F266E8" w:rsidP="00CB1F59">
      <w:pPr>
        <w:spacing w:after="0"/>
      </w:pPr>
      <w:r>
        <w:t xml:space="preserve">Esta información es de utilidad para la siguiente etapa del análisis, la cual consiste en simular cómo cambia la distribución ante una modificación en la formación educativa de los ciudadanos, específicamente si todos alcanzan la secundaria completa. </w:t>
      </w:r>
    </w:p>
    <w:p w14:paraId="22219E18" w14:textId="77777777" w:rsidR="00316B23" w:rsidRDefault="00316B23" w:rsidP="00CB1F59">
      <w:pPr>
        <w:spacing w:after="0"/>
        <w:rPr>
          <w:b/>
          <w:bCs/>
        </w:rPr>
      </w:pPr>
    </w:p>
    <w:p w14:paraId="0F1666A9" w14:textId="66358B83" w:rsidR="00CB1F59" w:rsidRDefault="00CB1F59" w:rsidP="00CB1F59">
      <w:pPr>
        <w:pStyle w:val="Prrafodelista"/>
        <w:numPr>
          <w:ilvl w:val="0"/>
          <w:numId w:val="2"/>
        </w:numPr>
        <w:spacing w:after="0"/>
        <w:ind w:left="0"/>
        <w:rPr>
          <w:b/>
          <w:bCs/>
        </w:rPr>
      </w:pPr>
      <w:r>
        <w:rPr>
          <w:b/>
          <w:bCs/>
        </w:rPr>
        <w:t>Punto A</w:t>
      </w:r>
    </w:p>
    <w:p w14:paraId="4997E8CC" w14:textId="77777777" w:rsidR="00CB1F59" w:rsidRDefault="00CB1F59" w:rsidP="00CB1F59">
      <w:pPr>
        <w:pStyle w:val="Prrafodelista"/>
        <w:spacing w:after="0"/>
        <w:ind w:left="0"/>
        <w:rPr>
          <w:b/>
          <w:bCs/>
        </w:rPr>
      </w:pPr>
    </w:p>
    <w:p w14:paraId="74EFE5B8" w14:textId="2A4DBBF1" w:rsidR="00CB1F59" w:rsidRDefault="00CC7EFA" w:rsidP="00CB1F59">
      <w:pPr>
        <w:pStyle w:val="Prrafodelista"/>
        <w:spacing w:after="0"/>
        <w:ind w:left="0"/>
      </w:pPr>
      <w:r>
        <w:t xml:space="preserve">Si todas las personas entre 18 y 40 años alcanzaran la educación secundaria completa, la distribución del ingreso mejoraría, puesto que un mayor nivel educativo se relaciona positivamente con un mayor ingreso, y por ende un mayor ingreso per cápita familiar. El gráfico 4 </w:t>
      </w:r>
      <w:r w:rsidR="00415726">
        <w:t>ilustra la distribución del logaritmo del ingreso per cápita familiar original frente a la misma variable, pero asumiendo que los agentes en el rango etario mencionando completaron sus estudios secundarios.</w:t>
      </w:r>
    </w:p>
    <w:p w14:paraId="49773CD1" w14:textId="77777777" w:rsidR="00415726" w:rsidRDefault="00415726" w:rsidP="00CB1F59">
      <w:pPr>
        <w:pStyle w:val="Prrafodelista"/>
        <w:spacing w:after="0"/>
        <w:ind w:left="0"/>
      </w:pPr>
    </w:p>
    <w:p w14:paraId="04EBF013" w14:textId="30A58442" w:rsidR="00415726" w:rsidRDefault="00B17F48" w:rsidP="00B17F48">
      <w:pPr>
        <w:pStyle w:val="Prrafodelista"/>
        <w:spacing w:after="0"/>
        <w:ind w:left="0"/>
        <w:jc w:val="center"/>
      </w:pPr>
      <w:r>
        <w:rPr>
          <w:noProof/>
        </w:rPr>
        <w:drawing>
          <wp:inline distT="0" distB="0" distL="0" distR="0" wp14:anchorId="3430CC3B" wp14:editId="00C52F06">
            <wp:extent cx="4171950" cy="3037713"/>
            <wp:effectExtent l="0" t="0" r="0" b="0"/>
            <wp:docPr id="147498996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89969" name="Imagen 1"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933" cy="3043526"/>
                    </a:xfrm>
                    <a:prstGeom prst="rect">
                      <a:avLst/>
                    </a:prstGeom>
                    <a:noFill/>
                    <a:ln>
                      <a:noFill/>
                    </a:ln>
                  </pic:spPr>
                </pic:pic>
              </a:graphicData>
            </a:graphic>
          </wp:inline>
        </w:drawing>
      </w:r>
    </w:p>
    <w:p w14:paraId="22ED189F" w14:textId="77777777" w:rsidR="00B17F48" w:rsidRDefault="00B17F48" w:rsidP="00CB1F59">
      <w:pPr>
        <w:pStyle w:val="Prrafodelista"/>
        <w:spacing w:after="0"/>
        <w:ind w:left="0"/>
      </w:pPr>
    </w:p>
    <w:p w14:paraId="0188A0E0" w14:textId="77777777" w:rsidR="00C73127" w:rsidRDefault="00B17F48" w:rsidP="00C73127">
      <w:pPr>
        <w:pStyle w:val="Prrafodelista"/>
        <w:spacing w:after="0"/>
        <w:ind w:left="0"/>
      </w:pPr>
      <w:r>
        <w:t xml:space="preserve">La curva referida al ingreso per cápita modificado esta más concentrada que la original, y presenta una mayor densidad en la cola derecha. </w:t>
      </w:r>
      <w:r w:rsidR="00C73127">
        <w:t xml:space="preserve">Por lo tanto, el alcanzar el nivel secundario completo se asocia a una distribución que se desplaza levemente a la derecha. </w:t>
      </w:r>
    </w:p>
    <w:p w14:paraId="3AD24773" w14:textId="2E726D78" w:rsidR="00CB1F59" w:rsidRDefault="00C73127" w:rsidP="00C73127">
      <w:pPr>
        <w:pStyle w:val="Prrafodelista"/>
        <w:spacing w:after="0"/>
        <w:ind w:left="0"/>
      </w:pPr>
      <w:r>
        <w:t xml:space="preserve">Sin embargo, este desplazamiento no es suficiente para que una mayor densidad se aleje de la línea de pobreza (línea negra), con lo cual no encontramos un efecto significativo en la disminución de la pobreza. </w:t>
      </w:r>
    </w:p>
    <w:p w14:paraId="55B3748D" w14:textId="77777777" w:rsidR="008E5A9B" w:rsidRDefault="008E5A9B" w:rsidP="00C73127">
      <w:pPr>
        <w:pStyle w:val="Prrafodelista"/>
        <w:spacing w:after="0"/>
        <w:ind w:left="0"/>
      </w:pPr>
    </w:p>
    <w:p w14:paraId="55FC85EC" w14:textId="77777777" w:rsidR="008E5A9B" w:rsidRDefault="008E5A9B" w:rsidP="00C73127">
      <w:pPr>
        <w:pStyle w:val="Prrafodelista"/>
        <w:spacing w:after="0"/>
        <w:ind w:left="0"/>
      </w:pPr>
    </w:p>
    <w:p w14:paraId="4FBF2727" w14:textId="77777777" w:rsidR="008E5A9B" w:rsidRDefault="008E5A9B" w:rsidP="00C73127">
      <w:pPr>
        <w:pStyle w:val="Prrafodelista"/>
        <w:spacing w:after="0"/>
        <w:ind w:left="0"/>
      </w:pPr>
    </w:p>
    <w:p w14:paraId="0D5B04F2" w14:textId="77777777" w:rsidR="008E5A9B" w:rsidRDefault="008E5A9B" w:rsidP="00C73127">
      <w:pPr>
        <w:pStyle w:val="Prrafodelista"/>
        <w:spacing w:after="0"/>
        <w:ind w:left="0"/>
      </w:pPr>
    </w:p>
    <w:p w14:paraId="6AAEF05C" w14:textId="77777777" w:rsidR="008E5A9B" w:rsidRDefault="008E5A9B" w:rsidP="00C73127">
      <w:pPr>
        <w:pStyle w:val="Prrafodelista"/>
        <w:spacing w:after="0"/>
        <w:ind w:left="0"/>
      </w:pPr>
    </w:p>
    <w:p w14:paraId="66FE4F47" w14:textId="77777777" w:rsidR="008E5A9B" w:rsidRDefault="008E5A9B" w:rsidP="00C73127">
      <w:pPr>
        <w:pStyle w:val="Prrafodelista"/>
        <w:spacing w:after="0"/>
        <w:ind w:left="0"/>
      </w:pPr>
    </w:p>
    <w:p w14:paraId="04170505" w14:textId="77777777" w:rsidR="008E5A9B" w:rsidRDefault="008E5A9B" w:rsidP="00C73127">
      <w:pPr>
        <w:pStyle w:val="Prrafodelista"/>
        <w:spacing w:after="0"/>
        <w:ind w:left="0"/>
      </w:pPr>
    </w:p>
    <w:p w14:paraId="5D52489B" w14:textId="77777777" w:rsidR="008E5A9B" w:rsidRDefault="008E5A9B" w:rsidP="00C73127">
      <w:pPr>
        <w:pStyle w:val="Prrafodelista"/>
        <w:spacing w:after="0"/>
        <w:ind w:left="0"/>
      </w:pPr>
    </w:p>
    <w:p w14:paraId="13047726" w14:textId="77777777" w:rsidR="008E5A9B" w:rsidRDefault="008E5A9B" w:rsidP="00C73127">
      <w:pPr>
        <w:pStyle w:val="Prrafodelista"/>
        <w:spacing w:after="0"/>
        <w:ind w:left="0"/>
      </w:pPr>
    </w:p>
    <w:p w14:paraId="31A1BEFD" w14:textId="77777777" w:rsidR="008E5A9B" w:rsidRDefault="008E5A9B" w:rsidP="00C73127">
      <w:pPr>
        <w:pStyle w:val="Prrafodelista"/>
        <w:spacing w:after="0"/>
        <w:ind w:left="0"/>
      </w:pPr>
    </w:p>
    <w:p w14:paraId="29017A3A" w14:textId="77777777" w:rsidR="008E5A9B" w:rsidRDefault="008E5A9B" w:rsidP="00C73127">
      <w:pPr>
        <w:pStyle w:val="Prrafodelista"/>
        <w:spacing w:after="0"/>
        <w:ind w:left="0"/>
      </w:pPr>
    </w:p>
    <w:p w14:paraId="6EE87FCB" w14:textId="77777777" w:rsidR="008E5A9B" w:rsidRDefault="008E5A9B" w:rsidP="00C73127">
      <w:pPr>
        <w:pStyle w:val="Prrafodelista"/>
        <w:spacing w:after="0"/>
        <w:ind w:left="0"/>
      </w:pPr>
    </w:p>
    <w:p w14:paraId="189575DA" w14:textId="648E9D94" w:rsidR="008E5A9B" w:rsidRDefault="008E5A9B" w:rsidP="008E5A9B">
      <w:pPr>
        <w:spacing w:after="0"/>
        <w:rPr>
          <w:b/>
          <w:bCs/>
        </w:rPr>
      </w:pPr>
    </w:p>
    <w:p w14:paraId="21529720" w14:textId="193B215A" w:rsidR="008E5A9B" w:rsidRDefault="008E5A9B" w:rsidP="008E5A9B">
      <w:pPr>
        <w:pStyle w:val="Prrafodelista"/>
        <w:numPr>
          <w:ilvl w:val="0"/>
          <w:numId w:val="2"/>
        </w:numPr>
        <w:spacing w:after="0"/>
        <w:rPr>
          <w:b/>
          <w:bCs/>
        </w:rPr>
      </w:pPr>
      <w:r>
        <w:rPr>
          <w:b/>
          <w:bCs/>
        </w:rPr>
        <w:t>Punto B</w:t>
      </w:r>
    </w:p>
    <w:p w14:paraId="6D1BFBAC" w14:textId="77777777" w:rsidR="008E5A9B" w:rsidRDefault="008E5A9B" w:rsidP="008E5A9B">
      <w:pPr>
        <w:spacing w:after="0"/>
        <w:rPr>
          <w:b/>
          <w:bCs/>
        </w:rPr>
      </w:pPr>
    </w:p>
    <w:p w14:paraId="126E44DC" w14:textId="0140A251" w:rsidR="008E5A9B" w:rsidRDefault="008E5A9B" w:rsidP="008E5A9B">
      <w:pPr>
        <w:spacing w:after="0"/>
      </w:pPr>
      <w:r>
        <w:t>Si extendemos el limite superior del rango etario para modificar el nivel educativo a los 60 años, el efecto, a priori, debería ser más alto, ya que todavía contamos con un segmento dentro de la población económicamente activa. E</w:t>
      </w:r>
      <w:r w:rsidR="009C32DF">
        <w:t xml:space="preserve">n el gráfico 5 se desarrolla la Curva de Lorenz, tanto para el ingreso per cápita familiar como para el modificado. </w:t>
      </w:r>
    </w:p>
    <w:p w14:paraId="36C22387" w14:textId="77777777" w:rsidR="009C32DF" w:rsidRDefault="009C32DF" w:rsidP="008E5A9B">
      <w:pPr>
        <w:spacing w:after="0"/>
      </w:pPr>
    </w:p>
    <w:p w14:paraId="4E4E6039" w14:textId="7F0BEFA9" w:rsidR="009C32DF" w:rsidRDefault="009C32DF" w:rsidP="009C32DF">
      <w:pPr>
        <w:spacing w:after="0"/>
        <w:jc w:val="center"/>
      </w:pPr>
      <w:r>
        <w:rPr>
          <w:noProof/>
        </w:rPr>
        <w:drawing>
          <wp:inline distT="0" distB="0" distL="0" distR="0" wp14:anchorId="5A6B401F" wp14:editId="1E4147D8">
            <wp:extent cx="4343400" cy="3162551"/>
            <wp:effectExtent l="0" t="0" r="0" b="0"/>
            <wp:docPr id="871540947"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40947" name="Imagen 2"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850" cy="3165791"/>
                    </a:xfrm>
                    <a:prstGeom prst="rect">
                      <a:avLst/>
                    </a:prstGeom>
                    <a:noFill/>
                    <a:ln>
                      <a:noFill/>
                    </a:ln>
                  </pic:spPr>
                </pic:pic>
              </a:graphicData>
            </a:graphic>
          </wp:inline>
        </w:drawing>
      </w:r>
    </w:p>
    <w:p w14:paraId="1ADE1241" w14:textId="77777777" w:rsidR="009C32DF" w:rsidRDefault="009C32DF" w:rsidP="009C32DF">
      <w:pPr>
        <w:spacing w:after="0"/>
      </w:pPr>
    </w:p>
    <w:p w14:paraId="4480468A" w14:textId="35167525" w:rsidR="009C32DF" w:rsidRDefault="009C32DF" w:rsidP="009C32DF">
      <w:pPr>
        <w:spacing w:after="0"/>
      </w:pPr>
      <w:r>
        <w:t xml:space="preserve">La curva de Lorenz que representa la proporción de ingreso modificado esta levemente por encima de la original, indicando una reducción marginal en la desigualdad. Específicamente, el </w:t>
      </w:r>
      <w:r w:rsidR="008C2E4D">
        <w:t>7</w:t>
      </w:r>
      <w:r>
        <w:t xml:space="preserve">0% </w:t>
      </w:r>
      <w:r w:rsidR="008C2E4D">
        <w:t xml:space="preserve">de la población concentraría un porcentaje mayor del ingreso total, mientras que para el resto no hay modificaciones. </w:t>
      </w:r>
    </w:p>
    <w:p w14:paraId="78CBCE63" w14:textId="77777777" w:rsidR="00CE4ED5" w:rsidRDefault="00CE4ED5" w:rsidP="009C32DF">
      <w:pPr>
        <w:spacing w:after="0"/>
      </w:pPr>
    </w:p>
    <w:p w14:paraId="18003482" w14:textId="77777777" w:rsidR="00CE4ED5" w:rsidRDefault="00CE4ED5" w:rsidP="009C32DF">
      <w:pPr>
        <w:spacing w:after="0"/>
      </w:pPr>
    </w:p>
    <w:p w14:paraId="0810EB5E" w14:textId="77777777" w:rsidR="00CE4ED5" w:rsidRDefault="00CE4ED5" w:rsidP="009C32DF">
      <w:pPr>
        <w:spacing w:after="0"/>
      </w:pPr>
    </w:p>
    <w:p w14:paraId="1518B854" w14:textId="77777777" w:rsidR="00CE4ED5" w:rsidRDefault="00CE4ED5" w:rsidP="009C32DF">
      <w:pPr>
        <w:spacing w:after="0"/>
      </w:pPr>
    </w:p>
    <w:p w14:paraId="4B060FA1" w14:textId="77777777" w:rsidR="00CE4ED5" w:rsidRDefault="00CE4ED5" w:rsidP="009C32DF">
      <w:pPr>
        <w:spacing w:after="0"/>
      </w:pPr>
    </w:p>
    <w:p w14:paraId="0598CB47" w14:textId="77777777" w:rsidR="00CE4ED5" w:rsidRDefault="00CE4ED5" w:rsidP="009C32DF">
      <w:pPr>
        <w:spacing w:after="0"/>
      </w:pPr>
    </w:p>
    <w:p w14:paraId="136E8E6E" w14:textId="77777777" w:rsidR="00CE4ED5" w:rsidRDefault="00CE4ED5" w:rsidP="009C32DF">
      <w:pPr>
        <w:spacing w:after="0"/>
      </w:pPr>
    </w:p>
    <w:p w14:paraId="1B247912" w14:textId="77777777" w:rsidR="00CE4ED5" w:rsidRDefault="00CE4ED5" w:rsidP="009C32DF">
      <w:pPr>
        <w:spacing w:after="0"/>
      </w:pPr>
    </w:p>
    <w:p w14:paraId="3EE9614B" w14:textId="77777777" w:rsidR="00CE4ED5" w:rsidRDefault="00CE4ED5" w:rsidP="009C32DF">
      <w:pPr>
        <w:spacing w:after="0"/>
      </w:pPr>
    </w:p>
    <w:p w14:paraId="192B499D" w14:textId="77777777" w:rsidR="00CE4ED5" w:rsidRDefault="00CE4ED5" w:rsidP="009C32DF">
      <w:pPr>
        <w:spacing w:after="0"/>
      </w:pPr>
    </w:p>
    <w:p w14:paraId="06D255C0" w14:textId="77777777" w:rsidR="00CE4ED5" w:rsidRDefault="00CE4ED5" w:rsidP="009C32DF">
      <w:pPr>
        <w:spacing w:after="0"/>
      </w:pPr>
    </w:p>
    <w:p w14:paraId="2D7891F9" w14:textId="77777777" w:rsidR="00CE4ED5" w:rsidRDefault="00CE4ED5" w:rsidP="009C32DF">
      <w:pPr>
        <w:spacing w:after="0"/>
      </w:pPr>
    </w:p>
    <w:p w14:paraId="500B80E8" w14:textId="77777777" w:rsidR="00CE4ED5" w:rsidRDefault="00CE4ED5" w:rsidP="009C32DF">
      <w:pPr>
        <w:spacing w:after="0"/>
      </w:pPr>
    </w:p>
    <w:p w14:paraId="658703D8" w14:textId="77777777" w:rsidR="00CE4ED5" w:rsidRDefault="00CE4ED5" w:rsidP="009C32DF">
      <w:pPr>
        <w:spacing w:after="0"/>
      </w:pPr>
    </w:p>
    <w:p w14:paraId="52E8D18B" w14:textId="77777777" w:rsidR="00CE4ED5" w:rsidRDefault="00CE4ED5" w:rsidP="009C32DF">
      <w:pPr>
        <w:spacing w:after="0"/>
      </w:pPr>
    </w:p>
    <w:p w14:paraId="5F404F8D" w14:textId="77777777" w:rsidR="00CE4ED5" w:rsidRDefault="00CE4ED5" w:rsidP="009C32DF">
      <w:pPr>
        <w:spacing w:after="0"/>
      </w:pPr>
    </w:p>
    <w:p w14:paraId="3A404208" w14:textId="77777777" w:rsidR="00CE4ED5" w:rsidRDefault="00CE4ED5" w:rsidP="009C32DF">
      <w:pPr>
        <w:spacing w:after="0"/>
      </w:pPr>
    </w:p>
    <w:p w14:paraId="6F9E660A" w14:textId="77777777" w:rsidR="00CE4ED5" w:rsidRDefault="00CE4ED5" w:rsidP="009C32DF">
      <w:pPr>
        <w:spacing w:after="0"/>
      </w:pPr>
    </w:p>
    <w:p w14:paraId="5BB9A66B" w14:textId="0B8D4351" w:rsidR="00CE4ED5" w:rsidRDefault="00CE4ED5" w:rsidP="00CE4ED5">
      <w:pPr>
        <w:spacing w:after="0"/>
      </w:pPr>
    </w:p>
    <w:p w14:paraId="1F49EE8B" w14:textId="7B6B66E7" w:rsidR="00CE4ED5" w:rsidRPr="00CE4ED5" w:rsidRDefault="00CE4ED5" w:rsidP="00CE4ED5">
      <w:pPr>
        <w:pStyle w:val="Prrafodelista"/>
        <w:numPr>
          <w:ilvl w:val="0"/>
          <w:numId w:val="2"/>
        </w:numPr>
        <w:spacing w:after="0"/>
      </w:pPr>
      <w:r>
        <w:rPr>
          <w:b/>
          <w:bCs/>
        </w:rPr>
        <w:t>Punto C</w:t>
      </w:r>
    </w:p>
    <w:p w14:paraId="574240B7" w14:textId="77777777" w:rsidR="00CE4ED5" w:rsidRDefault="00CE4ED5" w:rsidP="00CE4ED5">
      <w:pPr>
        <w:spacing w:after="0"/>
      </w:pPr>
    </w:p>
    <w:p w14:paraId="675B536B" w14:textId="76BE7F0C" w:rsidR="00CE4ED5" w:rsidRDefault="00CE4ED5" w:rsidP="00CE4ED5">
      <w:pPr>
        <w:spacing w:after="0"/>
      </w:pPr>
      <w:r>
        <w:t xml:space="preserve">Si ahora contemplamos personas mayores de 60 años, ampliando el rango a los 80, estaríamos incluyendo sujetos fuera de la población económicamente activa. </w:t>
      </w:r>
      <w:r w:rsidR="003E47C1">
        <w:t>Aquí, utilizamos el coeficiente de Gini, para verificar si existe un cambio o no en la desigualdad.</w:t>
      </w:r>
    </w:p>
    <w:p w14:paraId="509CF5B1" w14:textId="009CDCDC" w:rsidR="00B14A38" w:rsidRDefault="003E47C1" w:rsidP="00CE4ED5">
      <w:pPr>
        <w:spacing w:after="0"/>
      </w:pPr>
      <w:r>
        <w:t xml:space="preserve">Utilizando el ingreso per cápita familiar original, el coeficiente de Gini es 0,464, mientras que para la variable modificada una vez asumiendo el cambio en el nivel educativo es de 0,455. </w:t>
      </w:r>
      <w:r w:rsidR="00B14A38">
        <w:t xml:space="preserve">Esto indica una reducción del 2% en la desigualdad medida por esta métrica. </w:t>
      </w:r>
    </w:p>
    <w:p w14:paraId="31284487" w14:textId="77777777" w:rsidR="00B14A38" w:rsidRDefault="00B14A38" w:rsidP="00CE4ED5">
      <w:pPr>
        <w:spacing w:after="0"/>
      </w:pPr>
    </w:p>
    <w:p w14:paraId="6DFDC7B5" w14:textId="77777777" w:rsidR="00B14A38" w:rsidRDefault="00B14A38" w:rsidP="00CE4ED5">
      <w:pPr>
        <w:spacing w:after="0"/>
      </w:pPr>
    </w:p>
    <w:p w14:paraId="1B4F3000" w14:textId="02BFEDAB" w:rsidR="00B14A38" w:rsidRPr="00B14A38" w:rsidRDefault="00B14A38" w:rsidP="00B14A38">
      <w:pPr>
        <w:pStyle w:val="Prrafodelista"/>
        <w:numPr>
          <w:ilvl w:val="0"/>
          <w:numId w:val="2"/>
        </w:numPr>
        <w:spacing w:after="0"/>
      </w:pPr>
      <w:r>
        <w:rPr>
          <w:b/>
          <w:bCs/>
        </w:rPr>
        <w:t>Punto D</w:t>
      </w:r>
    </w:p>
    <w:p w14:paraId="57288E74" w14:textId="77777777" w:rsidR="00B14A38" w:rsidRDefault="00B14A38" w:rsidP="00B14A38">
      <w:pPr>
        <w:spacing w:after="0"/>
      </w:pPr>
    </w:p>
    <w:p w14:paraId="7546A5D7" w14:textId="5BFCF414" w:rsidR="00B14A38" w:rsidRDefault="00BB7680" w:rsidP="00B14A38">
      <w:pPr>
        <w:spacing w:after="0"/>
      </w:pPr>
      <w:r>
        <w:t xml:space="preserve">En este caso, quitamos el limite superior del rango etario y verificamos cómo se modifica el la distribución. Para esto utilizamos la Curva de Incidencia del Crecimiento en el gráfico 6. </w:t>
      </w:r>
    </w:p>
    <w:p w14:paraId="53321F2A" w14:textId="77777777" w:rsidR="00BB7680" w:rsidRDefault="00BB7680" w:rsidP="00B14A38">
      <w:pPr>
        <w:spacing w:after="0"/>
      </w:pPr>
    </w:p>
    <w:p w14:paraId="3EA902C5" w14:textId="56327C69" w:rsidR="00BB7680" w:rsidRDefault="00BB7680" w:rsidP="00BB7680">
      <w:pPr>
        <w:spacing w:after="0"/>
        <w:jc w:val="center"/>
      </w:pPr>
      <w:r>
        <w:rPr>
          <w:noProof/>
        </w:rPr>
        <w:drawing>
          <wp:inline distT="0" distB="0" distL="0" distR="0" wp14:anchorId="1554DDFD" wp14:editId="410C180B">
            <wp:extent cx="4486275" cy="3266582"/>
            <wp:effectExtent l="0" t="0" r="0" b="0"/>
            <wp:docPr id="1656037430" name="Imagen 3" descr="Interfaz de usuario gráfica, Gráfico, Aplicación,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37430" name="Imagen 3" descr="Interfaz de usuario gráfica, Gráfico, Aplicación,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2225" cy="3270914"/>
                    </a:xfrm>
                    <a:prstGeom prst="rect">
                      <a:avLst/>
                    </a:prstGeom>
                    <a:noFill/>
                    <a:ln>
                      <a:noFill/>
                    </a:ln>
                  </pic:spPr>
                </pic:pic>
              </a:graphicData>
            </a:graphic>
          </wp:inline>
        </w:drawing>
      </w:r>
    </w:p>
    <w:p w14:paraId="42EE4EF2" w14:textId="77777777" w:rsidR="00BB7680" w:rsidRDefault="00BB7680" w:rsidP="00BB7680">
      <w:pPr>
        <w:spacing w:after="0"/>
      </w:pPr>
    </w:p>
    <w:p w14:paraId="76CF4FF6" w14:textId="0421C8FB" w:rsidR="00BB7680" w:rsidRDefault="00BB7680" w:rsidP="00BB7680">
      <w:pPr>
        <w:spacing w:after="0"/>
      </w:pPr>
      <w:r>
        <w:t xml:space="preserve">El efecto más importante se evidencia en los percentiles más bajos de la distribución. Dada la correlación positiva entre </w:t>
      </w:r>
      <w:r w:rsidR="00936756">
        <w:t xml:space="preserve">el </w:t>
      </w:r>
      <w:r>
        <w:t xml:space="preserve">nivel educativo </w:t>
      </w:r>
      <w:r w:rsidR="00936756">
        <w:t xml:space="preserve">y los ingresos, si las personas que no culminaron sus estudios secundarios pudieran hacerlo, incrementaría las remuneraciones percibidas según indica la Ecuación de </w:t>
      </w:r>
      <w:proofErr w:type="spellStart"/>
      <w:r w:rsidR="00936756">
        <w:t>Mincer</w:t>
      </w:r>
      <w:proofErr w:type="spellEnd"/>
      <w:r w:rsidR="00936756">
        <w:t xml:space="preserve">. Al avanzar en la curva, el efecto se va reduciendo hasta el percentil </w:t>
      </w:r>
      <w:r w:rsidR="007970C5">
        <w:t>60</w:t>
      </w:r>
      <w:r w:rsidR="00936756">
        <w:t xml:space="preserve"> para posteriormente permanecer constante. </w:t>
      </w:r>
    </w:p>
    <w:p w14:paraId="55C0E4BB" w14:textId="77777777" w:rsidR="00936756" w:rsidRDefault="00936756" w:rsidP="00BB7680">
      <w:pPr>
        <w:spacing w:after="0"/>
      </w:pPr>
    </w:p>
    <w:p w14:paraId="640117CC" w14:textId="5A6F972F" w:rsidR="00936756" w:rsidRDefault="00936756" w:rsidP="00BB7680">
      <w:pPr>
        <w:spacing w:after="0"/>
      </w:pPr>
      <w:r>
        <w:t>En síntesis:</w:t>
      </w:r>
    </w:p>
    <w:p w14:paraId="75AD1F65" w14:textId="77777777" w:rsidR="00936756" w:rsidRDefault="00936756" w:rsidP="00BB7680">
      <w:pPr>
        <w:spacing w:after="0"/>
      </w:pPr>
    </w:p>
    <w:p w14:paraId="785D8743" w14:textId="36FBC3A1" w:rsidR="00936756" w:rsidRDefault="003471E1" w:rsidP="00936756">
      <w:pPr>
        <w:pStyle w:val="Prrafodelista"/>
        <w:numPr>
          <w:ilvl w:val="0"/>
          <w:numId w:val="2"/>
        </w:numPr>
        <w:spacing w:after="0"/>
      </w:pPr>
      <w:r>
        <w:t xml:space="preserve">Estimamos paramétricamente la ecuación de </w:t>
      </w:r>
      <w:proofErr w:type="spellStart"/>
      <w:r>
        <w:t>Mincer</w:t>
      </w:r>
      <w:proofErr w:type="spellEnd"/>
      <w:r>
        <w:t xml:space="preserve"> para quedarnos con el efecto de un incremento en el nivel educativo sobre el ingreso/salario de una persona. </w:t>
      </w:r>
    </w:p>
    <w:p w14:paraId="6B40B2B0" w14:textId="77777777" w:rsidR="007970C5" w:rsidRDefault="003471E1" w:rsidP="007970C5">
      <w:pPr>
        <w:pStyle w:val="Prrafodelista"/>
        <w:numPr>
          <w:ilvl w:val="0"/>
          <w:numId w:val="2"/>
        </w:numPr>
        <w:spacing w:after="0"/>
      </w:pPr>
      <w:r>
        <w:t>Incrementar la formación de toda la población mayor de edad hasta alcanzar la secundaria completa reduce la desigualdad (el coeficiente de Gini cae en un 2%), pero no evidenciamos efectos significativos sobre la pobreza.</w:t>
      </w:r>
      <w:r w:rsidR="007970C5">
        <w:t xml:space="preserve"> Una respuesta a esto último sería que , en Argentina, los ingresos se encuentran bajos dado el contexto, por lo que el cambio en la formación por si solo no genera un efecto significativo.</w:t>
      </w:r>
    </w:p>
    <w:p w14:paraId="32B0A021" w14:textId="11B84443" w:rsidR="003471E1" w:rsidRPr="008E5A9B" w:rsidRDefault="007970C5" w:rsidP="007970C5">
      <w:pPr>
        <w:pStyle w:val="Prrafodelista"/>
        <w:numPr>
          <w:ilvl w:val="0"/>
          <w:numId w:val="2"/>
        </w:numPr>
        <w:spacing w:after="0"/>
      </w:pPr>
      <w:r>
        <w:t xml:space="preserve">Por último, y tomando lo ilustrado en el gráfico 6 con la curva de incidencia, el mayor impacto del incremento en el nivel educativo se da en el segmento más bajo de la distribución, lo que indica la presencia de una proporción elevada de personas con estudios secundarios incompletos y su correspondiente efecto en el ingreso.  </w:t>
      </w:r>
    </w:p>
    <w:sectPr w:rsidR="003471E1" w:rsidRPr="008E5A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85A65"/>
    <w:multiLevelType w:val="hybridMultilevel"/>
    <w:tmpl w:val="009E039C"/>
    <w:lvl w:ilvl="0" w:tplc="C610DD3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ACE755B"/>
    <w:multiLevelType w:val="hybridMultilevel"/>
    <w:tmpl w:val="5AB42D92"/>
    <w:lvl w:ilvl="0" w:tplc="2FB82AB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27554669">
    <w:abstractNumId w:val="1"/>
  </w:num>
  <w:num w:numId="2" w16cid:durableId="37173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27"/>
    <w:rsid w:val="000E5B50"/>
    <w:rsid w:val="001B3F85"/>
    <w:rsid w:val="002D6227"/>
    <w:rsid w:val="00316B23"/>
    <w:rsid w:val="003471E1"/>
    <w:rsid w:val="003E47C1"/>
    <w:rsid w:val="00415726"/>
    <w:rsid w:val="007970C5"/>
    <w:rsid w:val="0085613D"/>
    <w:rsid w:val="008C2E4D"/>
    <w:rsid w:val="008E5A9B"/>
    <w:rsid w:val="00936756"/>
    <w:rsid w:val="0097343C"/>
    <w:rsid w:val="009C32DF"/>
    <w:rsid w:val="00AD2F0D"/>
    <w:rsid w:val="00B14A38"/>
    <w:rsid w:val="00B17F48"/>
    <w:rsid w:val="00BB7680"/>
    <w:rsid w:val="00C73127"/>
    <w:rsid w:val="00CB1F59"/>
    <w:rsid w:val="00CC7EFA"/>
    <w:rsid w:val="00CE4ED5"/>
    <w:rsid w:val="00E67411"/>
    <w:rsid w:val="00F266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3680"/>
  <w15:chartTrackingRefBased/>
  <w15:docId w15:val="{55CE7BCE-0FB1-4E9F-ABE1-55DADCB1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D6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D62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D62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D62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D62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2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2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2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22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D622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D622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D622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D622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D62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2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2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227"/>
    <w:rPr>
      <w:rFonts w:eastAsiaTheme="majorEastAsia" w:cstheme="majorBidi"/>
      <w:color w:val="272727" w:themeColor="text1" w:themeTint="D8"/>
    </w:rPr>
  </w:style>
  <w:style w:type="paragraph" w:styleId="Ttulo">
    <w:name w:val="Title"/>
    <w:basedOn w:val="Normal"/>
    <w:next w:val="Normal"/>
    <w:link w:val="TtuloCar"/>
    <w:uiPriority w:val="10"/>
    <w:qFormat/>
    <w:rsid w:val="002D6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2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2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2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227"/>
    <w:pPr>
      <w:spacing w:before="160"/>
      <w:jc w:val="center"/>
    </w:pPr>
    <w:rPr>
      <w:i/>
      <w:iCs/>
      <w:color w:val="404040" w:themeColor="text1" w:themeTint="BF"/>
    </w:rPr>
  </w:style>
  <w:style w:type="character" w:customStyle="1" w:styleId="CitaCar">
    <w:name w:val="Cita Car"/>
    <w:basedOn w:val="Fuentedeprrafopredeter"/>
    <w:link w:val="Cita"/>
    <w:uiPriority w:val="29"/>
    <w:rsid w:val="002D6227"/>
    <w:rPr>
      <w:i/>
      <w:iCs/>
      <w:color w:val="404040" w:themeColor="text1" w:themeTint="BF"/>
    </w:rPr>
  </w:style>
  <w:style w:type="paragraph" w:styleId="Prrafodelista">
    <w:name w:val="List Paragraph"/>
    <w:basedOn w:val="Normal"/>
    <w:uiPriority w:val="34"/>
    <w:qFormat/>
    <w:rsid w:val="002D6227"/>
    <w:pPr>
      <w:ind w:left="720"/>
      <w:contextualSpacing/>
    </w:pPr>
  </w:style>
  <w:style w:type="character" w:styleId="nfasisintenso">
    <w:name w:val="Intense Emphasis"/>
    <w:basedOn w:val="Fuentedeprrafopredeter"/>
    <w:uiPriority w:val="21"/>
    <w:qFormat/>
    <w:rsid w:val="002D6227"/>
    <w:rPr>
      <w:i/>
      <w:iCs/>
      <w:color w:val="2F5496" w:themeColor="accent1" w:themeShade="BF"/>
    </w:rPr>
  </w:style>
  <w:style w:type="paragraph" w:styleId="Citadestacada">
    <w:name w:val="Intense Quote"/>
    <w:basedOn w:val="Normal"/>
    <w:next w:val="Normal"/>
    <w:link w:val="CitadestacadaCar"/>
    <w:uiPriority w:val="30"/>
    <w:qFormat/>
    <w:rsid w:val="002D6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D6227"/>
    <w:rPr>
      <w:i/>
      <w:iCs/>
      <w:color w:val="2F5496" w:themeColor="accent1" w:themeShade="BF"/>
    </w:rPr>
  </w:style>
  <w:style w:type="character" w:styleId="Referenciaintensa">
    <w:name w:val="Intense Reference"/>
    <w:basedOn w:val="Fuentedeprrafopredeter"/>
    <w:uiPriority w:val="32"/>
    <w:qFormat/>
    <w:rsid w:val="002D62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698A-AC01-4E43-A2A8-FCA290EE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Matias Bohorquez</dc:creator>
  <cp:keywords/>
  <dc:description/>
  <cp:lastModifiedBy>Emiliano Matias Bohorquez</cp:lastModifiedBy>
  <cp:revision>9</cp:revision>
  <dcterms:created xsi:type="dcterms:W3CDTF">2024-11-26T19:00:00Z</dcterms:created>
  <dcterms:modified xsi:type="dcterms:W3CDTF">2024-11-26T22:06:00Z</dcterms:modified>
</cp:coreProperties>
</file>