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Unique Medstar IDs for the LEAD Assessment Data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ID 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ID Proportion of 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Any positive determinations at each assessment (initial, secondary, and post-DETECT) for each subtype of abuse and any overall across all subtypes.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(91.1 - 95.3)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(90.7 - 94.3)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(50.0 - 66.6)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 (88.8 - 93.5)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(5.7 - 9.3)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(33.4 - 50.0)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(6.5 - 11.2)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Any positive determinations at each assessment (initial, secondary, and post-DETECT) for each subtype of abuse and any overall across all subtypes.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(95% CI) 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 (92.7 - 96.5)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(3.5 - 7.3)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Count and Percentage of Dissenting Votes for Each Panelist Discipline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n_votes_Initial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n_perc_diss_votes_Initial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n_votes_Secondary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n_perc_diss_votes_Secondary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n_votes_Post-detect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n_perc_diss_votes_Post-detect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(0.9790%)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(0.2169%)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(0.3764%)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(0.5270%)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(0.5988%)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(0.2183%)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(0.7782%)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(2.4793%)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(0.7505%)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(0.1255%)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(0.1497%)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(0.5188%)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(0.8264%)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(2.3776%)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(1.8519%)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(2.1692%)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(1.1292%)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(5.8824%)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(0.9381%)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(1.1858%)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(0.5445%)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(2.0958%)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(2.8846%)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(0.2183%)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(2.5940%)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(3.3058%)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(1.1257%)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(0.9790%)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(1.8519%)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(0.8677%)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(0.8783%)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(0.9223%)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(1.6949%)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(0.3630%)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(0.4491%)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(1.6861%)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(3.3058%)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(0.7505%)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(1.1189%)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(0.9259%)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(1.0038%)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(0.5270%)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(0.7485%)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(0.9615%)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(1.4267%)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(1.5385%)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(0.4338%)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(0.8783%)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(0.6588%)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(1.6949%)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(0.5445%)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(1.0479%)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(2.8846%)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(0.6550%)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(1.2970%)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(1.6529%)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(0.5629%)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(0.4196%)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(0.2169%)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(0.1297%)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(0.1876%)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(1.0589%)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(0.6614%)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(0.5578%)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(0.6274%)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(1.3205%)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(0.1876%)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(0.5458%)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(0.6053%)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(0.3111%)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(0.7271%)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(0.9615%)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(0.1560%)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(1.2044%)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(1.6529%)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(0.5897%)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2023-11-28T14:25:06Z</dcterms:modified>
  <cp:category/>
</cp:coreProperties>
</file>