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56"/>
          <w:szCs w:val="56"/>
          <w:color w:val="000000"/>
        </w:rPr>
        <w:t xml:space="preserve">LEAD Data Analysis Tables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Unique Medstar IDs for the LEAD Assessment Data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592"/>
        <w:gridCol w:w="2592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assessment_type_3cat_f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unique_id_count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unique_id_proportion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The table below answers the question: When comparing the initial assessment abuse determinations to the other assessments, what is the percentage of determinations that were the same?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Showing the Percent Similarity Between the Initial Assessment Determination and the Other Assessment Types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Secondary LEAD Assessment (Initial When Unavailable)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(N=798)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physical abuse determination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(99.0%)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sexual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(99.9%)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emotional-psycho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(94.4%)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(5.6%)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(99.0%)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abandonment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(99.9%)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financial exploitation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(98.5%)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self-neglect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 (98.1%)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any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(91.1%)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(8.6%)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Initial LEAD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(N=798)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(99.0%)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 (99.7%)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 (95.1%)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(99.4%)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(98.2%)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(98.9%)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(99.9%)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(92.2%)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(7.3%)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Secondary LEAD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(N=135)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(94.8%)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(5.2%)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(99.3%)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(74.8%)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(25.2%)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(94.1%)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(91.1%)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(8.9%)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(91.9%)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(8.1%)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(99.3%)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(58.5%)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(41.5%)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Post-Detect LEAD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(N=553)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(98.9%)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(99.8%)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(94.8%)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(5.2%)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 (99.1%)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(97.3%)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(98.6%)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(99.8%)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(91.3%)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(8.7%)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Race/ Ethnicity by LEAD Assessment Abuse Determination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(N=796)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(Hispanic)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(91.1%)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(3.1%)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(26.4%)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 (65.3%)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Income by LEAD Assessment Abuse Determination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(N=796)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(14.9%)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(27.0%)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(22.0%)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(9.0%)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(7.9%)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(3.5%)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(3.9%)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(12.1%)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(11.7%)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MedStar Medic EM Abuse Determinations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(N=798)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physical abuse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(71.1%)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(27.8%)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sexual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(70.8%)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(28.3%)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emotional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(69.2%)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(28.4%)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neglect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(71.2%)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(28.1%)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abandonment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(71.4%)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(28.2%)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financial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(70.7%)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(28.3%)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self-neglect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(71.2%)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(27.2%)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any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(64.8%)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(31.1%)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Overall MedStar Medic Abuse Determinations and Detect status at Initial 911 Call by Overall LEAD Determinations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(N=796)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any abuse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(64.9%)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(4.1%)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(30.9%)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 determination at initial 911 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(3.1%)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Negative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(97.4%)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(91.3%)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(96.9%)</w:t>
            </w:r>
          </w:p>
        </w:tc>
      </w:tr>
    </w:tbl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Initial and Secondary Assessment Vote Counts for Each LEAD Panelist and Percentage of Initial Votes that Changed at the Secondary Assessment for Cases that were Voted on In Both Assessments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Panelist 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Initial Votes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Seconday Votes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 of Changed Votes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5.06 %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5.00 %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4.17 %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6.25 %</w:t>
            </w:r>
          </w:p>
        </w:tc>
      </w:tr>
      <w:tr>
        <w:trPr>
          <w:trHeight w:val="360" w:hRule="auto"/>
        </w:trPr>
        body11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0.00 %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1.04 %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2.08 %</w:t>
            </w:r>
          </w:p>
        </w:tc>
      </w:tr>
      <w:tr>
        <w:trPr>
          <w:trHeight w:val="360" w:hRule="auto"/>
        </w:trPr>
        body21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28.57 %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16.00 %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4.20 %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9.72 %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14.10 %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5.00 %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14.58 %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29.17 %</w:t>
            </w:r>
          </w:p>
        </w:tc>
      </w:tr>
      <w:tr>
        <w:trPr>
          <w:trHeight w:val="360" w:hRule="auto"/>
        </w:trPr>
        body31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4.00 %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5.88 %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7.59 %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7.29 %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14.58 %</w:t>
            </w:r>
          </w:p>
        </w:tc>
      </w:tr>
      <w:tr>
        <w:trPr>
          <w:trHeight w:val="360" w:hRule="auto"/>
        </w:trPr>
        body41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24.00 %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5.88 %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7.59 %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10.00 %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6.25 %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12.50 %</w:t>
            </w:r>
          </w:p>
        </w:tc>
      </w:tr>
      <w:tr>
        <w:trPr>
          <w:trHeight w:val="360" w:hRule="auto"/>
        </w:trPr>
        body51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14.29 %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20.00 %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4.20 %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3.80 %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25.00 %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5.21 %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10.42 %</w:t>
            </w:r>
          </w:p>
        </w:tc>
      </w:tr>
      <w:tr>
        <w:trPr>
          <w:trHeight w:val="360" w:hRule="auto"/>
        </w:trPr>
        body61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0.85 %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1.39 %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4.17 %</w:t>
            </w:r>
          </w:p>
        </w:tc>
      </w:tr>
      <w:tr>
        <w:trPr>
          <w:trHeight w:val="360" w:hRule="auto"/>
        </w:trPr>
        body71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6.12 %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9.14 %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3.12 %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4.37 %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5.43 %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6.43 %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5.51 %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11.31 %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2024-12-08T16:59:43Z</dcterms:modified>
  <cp:category/>
</cp:coreProperties>
</file>