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3q1ichn7wixu" w:id="0"/>
      <w:bookmarkEnd w:id="0"/>
      <w:commentRangeStart w:id="0"/>
      <w:r w:rsidDel="00000000" w:rsidR="00000000" w:rsidRPr="00000000">
        <w:rPr>
          <w:rtl w:val="0"/>
        </w:rPr>
        <w:t xml:space="preserve">Epi 3 Lab Warm-up</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At the beginning of each in-person lab session, students will complete a warm-up together as a class using a series of interactive poll questions that provide immediate feedback. These activities will not be graded. However, participating gives students an opportunity to self-assess their comprehension and ask questions.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NOTE: Although I want these to be questions that generate discussion, it has been my experience that using more than one or two “short answer” type questions can sort of gum up the works. Instead, it’s best if you can create multiple-choice or T/F questions that are a little bit tricky and discussion generating. Or, even if the question itself isn’t tricky, following up with “why is that the right answer” can generate some good discussion.</w:t>
      </w:r>
    </w:p>
    <w:p w:rsidR="00000000" w:rsidDel="00000000" w:rsidP="00000000" w:rsidRDefault="00000000" w:rsidRPr="00000000" w14:paraId="00000006">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5475"/>
        <w:gridCol w:w="3165"/>
        <w:tblGridChange w:id="0">
          <w:tblGrid>
            <w:gridCol w:w="720"/>
            <w:gridCol w:w="5475"/>
            <w:gridCol w:w="31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rPr/>
            </w:pPr>
            <w:r w:rsidDel="00000000" w:rsidR="00000000" w:rsidRPr="00000000">
              <w:rPr>
                <w:rtl w:val="0"/>
              </w:rPr>
              <w:t xml:space="preserve">Question Template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pPr>
            <w:r w:rsidDel="00000000" w:rsidR="00000000" w:rsidRPr="00000000">
              <w:rPr>
                <w:rtl w:val="0"/>
              </w:rPr>
              <w:t xml:space="preserve">Placeholder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0">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pPr>
            <w:r w:rsidDel="00000000" w:rsidR="00000000" w:rsidRPr="00000000">
              <w:rPr>
                <w:rtl w:val="0"/>
              </w:rPr>
              <w:t xml:space="preserve">Answer/source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3">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16">
      <w:pPr>
        <w:pStyle w:val="Heading1"/>
        <w:pageBreakBefore w:val="0"/>
        <w:rPr/>
      </w:pPr>
      <w:bookmarkStart w:colFirst="0" w:colLast="0" w:name="_533es75cvhwu" w:id="1"/>
      <w:bookmarkEnd w:id="1"/>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ad Cannell" w:id="0" w:date="2020-02-07T21:26:11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pull these from Soctrative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https://b.socrative.com/teacher/#edit-quiz/44145356</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line="240" w:lineRule="auto"/>
    </w:pPr>
    <w:rPr>
      <w:b w:val="1"/>
    </w:rPr>
  </w:style>
  <w:style w:type="paragraph" w:styleId="Heading2">
    <w:name w:val="heading 2"/>
    <w:basedOn w:val="Normal"/>
    <w:next w:val="Normal"/>
    <w:pPr>
      <w:keepNext w:val="1"/>
      <w:keepLines w:val="1"/>
      <w:pageBreakBefore w:val="0"/>
      <w:spacing w:line="240" w:lineRule="auto"/>
    </w:pPr>
    <w:rPr>
      <w:i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comments" Target="comments.xml"/><Relationship Id="rId1" Type="http://schemas.openxmlformats.org/officeDocument/2006/relationships/theme" Target="theme/theme1.xml"/><Relationship Id="rId6" Type="http://schemas.openxmlformats.org/officeDocument/2006/relationships/styles" Target="styles.xml"/><Relationship Id="rId5" Type="http://schemas.openxmlformats.org/officeDocument/2006/relationships/numbering" Target="numbering.xml"/><Relationship Id="rId4" Type="http://schemas.openxmlformats.org/officeDocument/2006/relationships/fontTable" Target="fontTable.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F6E10B95-EEAB-4619-B42E-A5C5710E2BBA}"/>
</file>

<file path=customXml/itemProps2.xml><?xml version="1.0" encoding="utf-8"?>
<ds:datastoreItem xmlns:ds="http://schemas.openxmlformats.org/officeDocument/2006/customXml" ds:itemID="{051ABDDC-46F0-4362-9633-91FBC9077B6E}"/>
</file>

<file path=customXml/itemProps3.xml><?xml version="1.0" encoding="utf-8"?>
<ds:datastoreItem xmlns:ds="http://schemas.openxmlformats.org/officeDocument/2006/customXml" ds:itemID="{AA64C3AB-CF67-438A-A855-DD4D37D166D2}"/>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ies>
</file>