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w:t>
      </w:r>
      <w:r w:rsidDel="00000000" w:rsidR="00000000" w:rsidRPr="00000000">
        <w:rPr>
          <w:i w:val="1"/>
          <w:rtl w:val="0"/>
        </w:rPr>
        <w:t xml:space="preserve">NOT</w:t>
      </w:r>
      <w:r w:rsidDel="00000000" w:rsidR="00000000" w:rsidRPr="00000000">
        <w:rPr>
          <w:rtl w:val="0"/>
        </w:rPr>
        <w:t xml:space="preserve">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t8r28w9eta4v" w:id="1"/>
      <w:bookmarkEnd w:id="1"/>
      <w:r w:rsidDel="00000000" w:rsidR="00000000" w:rsidRPr="00000000">
        <w:rPr>
          <w:rtl w:val="0"/>
        </w:rPr>
        <w:t xml:space="preserve">Causality</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pPr>
            <w:r w:rsidDel="00000000" w:rsidR="00000000" w:rsidRPr="00000000">
              <w:rPr>
                <w:rtl w:val="0"/>
              </w:rPr>
              <w:t xml:space="preserve">Which of the following are tools discussed in this module that may assist researchers in making causal inferences?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U.S. Department of Health and Human Services Disease Criteria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Geographic 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Directed Acyclic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Lesson 1: Causal Models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None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pPr>
            <w:r w:rsidDel="00000000" w:rsidR="00000000" w:rsidRPr="00000000">
              <w:rPr>
                <w:rtl w:val="0"/>
              </w:rPr>
              <w:t xml:space="preserve">Which of the following is NOT a model/theory of causality discussed in this module?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of causation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(Szklo &amp; Nieto, 2019, pg. 439)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Rothman’s causality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(Szklo &amp; Nieto, 2019, pg. 439-440)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Hill’s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(Szklo &amp; Nieto, 2019, pg. 446)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Belief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One criticism of modern epidemiology in general, and the Sufficient-Component cause model specifically, is that there is too much emphasis placed 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Proximate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(Szklo &amp; Nieto, 2019, pg. 441)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Intermediate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Distal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Social determinants of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The relationship between which exposure-outcome pair was the subject of controversy in the field of epidemiology in the 1970s as discussed in this week’s module?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Estrogen and Uterine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Lesson 1: Causal Models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Mosquitos and Malaria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APoE and Alzheimer’s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Ibuprofen and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According to the Sufficient-Component Cause Model, if an exposure exists in all causal pies for a given outcome, it is assumed to be 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Component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Sufficient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Mediating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Necessary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(Szklo &amp; Nieto, 2019, pg. 440)</w:t>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rPr/>
            </w:pPr>
            <w:r w:rsidDel="00000000" w:rsidR="00000000" w:rsidRPr="00000000">
              <w:rPr>
                <w:rtl w:val="0"/>
              </w:rPr>
              <w:t xml:space="preserve">According</w:t>
            </w:r>
            <w:r w:rsidDel="00000000" w:rsidR="00000000" w:rsidRPr="00000000">
              <w:rPr>
                <w:rtl w:val="0"/>
              </w:rPr>
              <w:t xml:space="preserve"> to Rothman and Greenland (2015), "A given disease can be caused by more than one causal mechanism and every causal mechanism involves the joint action of a multitude of component causes."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Get page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5">
      <w:pPr>
        <w:pStyle w:val="Heading1"/>
        <w:pageBreakBefore w:val="0"/>
        <w:rPr/>
      </w:pPr>
      <w:bookmarkStart w:colFirst="0" w:colLast="0" w:name="_xjls23n4cj85" w:id="2"/>
      <w:bookmarkEnd w:id="2"/>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CEA14652-E778-4836-8211-EF9507B24588}"/>
</file>

<file path=customXml/itemProps2.xml><?xml version="1.0" encoding="utf-8"?>
<ds:datastoreItem xmlns:ds="http://schemas.openxmlformats.org/officeDocument/2006/customXml" ds:itemID="{B21D3B0E-56B1-49C7-95DA-18E2CE116BA0}"/>
</file>

<file path=customXml/itemProps3.xml><?xml version="1.0" encoding="utf-8"?>
<ds:datastoreItem xmlns:ds="http://schemas.openxmlformats.org/officeDocument/2006/customXml" ds:itemID="{BD30BFFE-5C37-4142-A873-DD631AA2DEA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