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59E04" w14:textId="77777777" w:rsidR="004662A8" w:rsidRDefault="00513818">
      <w:pPr>
        <w:ind w:left="0" w:firstLine="0"/>
        <w:rPr>
          <w:b/>
          <w:i/>
        </w:rPr>
      </w:pPr>
      <w:r>
        <w:rPr>
          <w:b/>
          <w:i/>
        </w:rPr>
        <w:t>Module overview</w:t>
      </w:r>
    </w:p>
    <w:p w14:paraId="28359E05" w14:textId="77777777" w:rsidR="004662A8" w:rsidRDefault="004662A8">
      <w:pPr>
        <w:ind w:left="0" w:firstLine="0"/>
        <w:rPr>
          <w:b/>
        </w:rPr>
      </w:pPr>
    </w:p>
    <w:p w14:paraId="28359E06" w14:textId="77777777" w:rsidR="004662A8" w:rsidRDefault="00513818">
      <w:pPr>
        <w:ind w:left="0" w:firstLine="0"/>
        <w:rPr>
          <w:b/>
          <w:i/>
        </w:rPr>
      </w:pPr>
      <w:r>
        <w:t xml:space="preserve">One way to describe the practice of modern epidemiology is combing expert knowledge, data, and analytic techniques for one of three purposes: </w:t>
      </w:r>
      <w:r>
        <w:rPr>
          <w:b/>
          <w:i/>
          <w:u w:val="single"/>
        </w:rPr>
        <w:t>describe</w:t>
      </w:r>
      <w:r>
        <w:t xml:space="preserve"> a phenomenon or characteristic in a population, </w:t>
      </w:r>
      <w:r>
        <w:rPr>
          <w:b/>
          <w:i/>
          <w:u w:val="single"/>
        </w:rPr>
        <w:t>predict</w:t>
      </w:r>
      <w:r>
        <w:t xml:space="preserve"> a phenomenon or characteristic in a population, and/or draw conclusions about the </w:t>
      </w:r>
      <w:r>
        <w:rPr>
          <w:b/>
          <w:i/>
          <w:u w:val="single"/>
        </w:rPr>
        <w:t>cause</w:t>
      </w:r>
      <w:r>
        <w:t>(s) of a phenomenon or characteristic of a population. The third purpose — drawing causal conclusions — has a special place in epidemiology (and in science generally). In this module, we will begin to discuss why that is the case and learn about some tools we can use in practice when causal inference is our goal.</w:t>
      </w:r>
    </w:p>
    <w:p w14:paraId="28359E07" w14:textId="77777777" w:rsidR="004662A8" w:rsidRDefault="004662A8">
      <w:pPr>
        <w:ind w:left="0" w:firstLine="0"/>
        <w:rPr>
          <w:b/>
          <w:i/>
        </w:rPr>
      </w:pPr>
    </w:p>
    <w:p w14:paraId="28359E08" w14:textId="77777777" w:rsidR="004662A8" w:rsidRDefault="00513818">
      <w:pPr>
        <w:ind w:left="0" w:firstLine="0"/>
        <w:rPr>
          <w:b/>
          <w:i/>
        </w:rPr>
      </w:pPr>
      <w:r>
        <w:rPr>
          <w:b/>
          <w:i/>
        </w:rPr>
        <w:t>Module topics / Key Concepts</w:t>
      </w:r>
    </w:p>
    <w:p w14:paraId="28359E09" w14:textId="77777777" w:rsidR="004662A8" w:rsidRDefault="00513818">
      <w:pPr>
        <w:numPr>
          <w:ilvl w:val="0"/>
          <w:numId w:val="4"/>
        </w:numPr>
      </w:pPr>
      <w:r>
        <w:t>Be able to discuss what causal inference means in epidemiology and compare it to a statistical association.</w:t>
      </w:r>
    </w:p>
    <w:p w14:paraId="28359E0A" w14:textId="77777777" w:rsidR="004662A8" w:rsidRDefault="00513818">
      <w:pPr>
        <w:numPr>
          <w:ilvl w:val="0"/>
          <w:numId w:val="4"/>
        </w:numPr>
      </w:pPr>
      <w:r>
        <w:t xml:space="preserve">Be able to identify, interpret, and create diagrams based on </w:t>
      </w:r>
      <w:r>
        <w:rPr>
          <w:u w:val="single"/>
        </w:rPr>
        <w:t>Rothman’s Sufficient-Component Cause model</w:t>
      </w:r>
      <w:r>
        <w:t>.</w:t>
      </w:r>
    </w:p>
    <w:p w14:paraId="28359E0B" w14:textId="77777777" w:rsidR="004662A8" w:rsidRDefault="00513818">
      <w:pPr>
        <w:numPr>
          <w:ilvl w:val="0"/>
          <w:numId w:val="4"/>
        </w:numPr>
      </w:pPr>
      <w:r>
        <w:t xml:space="preserve">Be able to describe what the term </w:t>
      </w:r>
      <w:r>
        <w:rPr>
          <w:u w:val="single"/>
        </w:rPr>
        <w:t>counterfactual</w:t>
      </w:r>
      <w:r>
        <w:t xml:space="preserve"> means in the context of epidemiology.</w:t>
      </w:r>
    </w:p>
    <w:p w14:paraId="28359E0C" w14:textId="77777777" w:rsidR="004662A8" w:rsidRDefault="00513818">
      <w:pPr>
        <w:numPr>
          <w:ilvl w:val="0"/>
          <w:numId w:val="4"/>
        </w:numPr>
      </w:pPr>
      <w:r>
        <w:t xml:space="preserve">Be able to identify, interpret, and create </w:t>
      </w:r>
      <w:r>
        <w:rPr>
          <w:u w:val="single"/>
        </w:rPr>
        <w:t>Directed Acyclic Graphs (DAGs)</w:t>
      </w:r>
      <w:r>
        <w:t>.</w:t>
      </w:r>
    </w:p>
    <w:p w14:paraId="28359E0D" w14:textId="77777777" w:rsidR="004662A8" w:rsidRDefault="00513818">
      <w:pPr>
        <w:numPr>
          <w:ilvl w:val="0"/>
          <w:numId w:val="4"/>
        </w:numPr>
      </w:pPr>
      <w:r>
        <w:t xml:space="preserve">Be able to describe why </w:t>
      </w:r>
      <w:r>
        <w:rPr>
          <w:u w:val="single"/>
        </w:rPr>
        <w:t>Bradford-Hill’s guidelines</w:t>
      </w:r>
      <w:r>
        <w:t xml:space="preserve"> are an important historical document but are not sufficient to draw to be used as criteria for determining whether a relationship between to variables is causal or not.</w:t>
      </w:r>
    </w:p>
    <w:p w14:paraId="28359E0E" w14:textId="77777777" w:rsidR="004662A8" w:rsidRDefault="004662A8">
      <w:pPr>
        <w:ind w:firstLine="720"/>
      </w:pPr>
    </w:p>
    <w:p w14:paraId="28359E0F" w14:textId="77777777" w:rsidR="004662A8" w:rsidRDefault="00513818">
      <w:pPr>
        <w:ind w:left="0" w:firstLine="0"/>
        <w:rPr>
          <w:b/>
          <w:i/>
        </w:rPr>
      </w:pPr>
      <w:r>
        <w:rPr>
          <w:b/>
          <w:i/>
        </w:rPr>
        <w:t>Required videos</w:t>
      </w:r>
    </w:p>
    <w:p w14:paraId="28359E10" w14:textId="77777777" w:rsidR="004662A8" w:rsidRDefault="00513818">
      <w:pPr>
        <w:spacing w:line="240" w:lineRule="auto"/>
        <w:ind w:left="0" w:firstLine="0"/>
      </w:pPr>
      <w:r>
        <w:t xml:space="preserve">Please view the following presentations </w:t>
      </w:r>
      <w:r>
        <w:rPr>
          <w:b/>
          <w:u w:val="single"/>
        </w:rPr>
        <w:t>before</w:t>
      </w:r>
      <w:r>
        <w:t xml:space="preserve"> our next in-class lab session:</w:t>
      </w:r>
    </w:p>
    <w:p w14:paraId="28359E11" w14:textId="77777777" w:rsidR="004662A8" w:rsidRDefault="004662A8">
      <w:pPr>
        <w:spacing w:line="240" w:lineRule="auto"/>
      </w:pPr>
    </w:p>
    <w:p w14:paraId="28359E12" w14:textId="77777777" w:rsidR="004662A8" w:rsidRDefault="00AB1EC0">
      <w:pPr>
        <w:numPr>
          <w:ilvl w:val="0"/>
          <w:numId w:val="5"/>
        </w:numPr>
      </w:pPr>
      <w:hyperlink r:id="rId9">
        <w:r w:rsidR="00513818">
          <w:rPr>
            <w:color w:val="1155CC"/>
            <w:u w:val="single"/>
          </w:rPr>
          <w:t>Causal Diagrams: Draw Your Assumptions Before Your Conclusions</w:t>
        </w:r>
      </w:hyperlink>
      <w:r w:rsidR="00513818">
        <w:t xml:space="preserve"> (</w:t>
      </w:r>
      <w:proofErr w:type="spellStart"/>
      <w:r w:rsidR="00513818">
        <w:t>Hernán</w:t>
      </w:r>
      <w:proofErr w:type="spellEnd"/>
      <w:r w:rsidR="00513818">
        <w:t>, 2017)</w:t>
      </w:r>
    </w:p>
    <w:p w14:paraId="28359E13" w14:textId="77777777" w:rsidR="004662A8" w:rsidRDefault="00513818">
      <w:pPr>
        <w:numPr>
          <w:ilvl w:val="1"/>
          <w:numId w:val="5"/>
        </w:numPr>
      </w:pPr>
      <w:r>
        <w:t xml:space="preserve">Lesson 1: Causal DAGs </w:t>
      </w:r>
    </w:p>
    <w:p w14:paraId="28359E14" w14:textId="77777777" w:rsidR="004662A8" w:rsidRDefault="00513818">
      <w:pPr>
        <w:numPr>
          <w:ilvl w:val="1"/>
          <w:numId w:val="5"/>
        </w:numPr>
      </w:pPr>
      <w:r>
        <w:t>Only videos are required. You are welcome to complete questions if you would like.</w:t>
      </w:r>
    </w:p>
    <w:p w14:paraId="28359E15" w14:textId="77777777" w:rsidR="004662A8" w:rsidRDefault="00513818">
      <w:pPr>
        <w:numPr>
          <w:ilvl w:val="1"/>
          <w:numId w:val="5"/>
        </w:numPr>
      </w:pPr>
      <w:r>
        <w:t xml:space="preserve">This is a free video series you can access online at a website called </w:t>
      </w:r>
      <w:hyperlink r:id="rId10">
        <w:r>
          <w:rPr>
            <w:color w:val="1155CC"/>
            <w:u w:val="single"/>
          </w:rPr>
          <w:t>edX</w:t>
        </w:r>
      </w:hyperlink>
      <w:r>
        <w:t xml:space="preserve">. The videos feature </w:t>
      </w:r>
      <w:hyperlink r:id="rId11">
        <w:r>
          <w:rPr>
            <w:color w:val="1155CC"/>
            <w:u w:val="single"/>
          </w:rPr>
          <w:t xml:space="preserve">Miguel </w:t>
        </w:r>
        <w:proofErr w:type="spellStart"/>
        <w:r>
          <w:rPr>
            <w:color w:val="1155CC"/>
            <w:u w:val="single"/>
          </w:rPr>
          <w:t>Hernán</w:t>
        </w:r>
        <w:proofErr w:type="spellEnd"/>
      </w:hyperlink>
      <w:r>
        <w:t>, who is at Harvard and one of the leading causal inference researchers in the field.</w:t>
      </w:r>
    </w:p>
    <w:p w14:paraId="28359E16" w14:textId="77777777" w:rsidR="004662A8" w:rsidRDefault="00513818">
      <w:pPr>
        <w:numPr>
          <w:ilvl w:val="1"/>
          <w:numId w:val="5"/>
        </w:numPr>
      </w:pPr>
      <w:r>
        <w:t xml:space="preserve">You will have to create a login and password with the edX website </w:t>
      </w:r>
      <w:proofErr w:type="gramStart"/>
      <w:r>
        <w:t>in order to</w:t>
      </w:r>
      <w:proofErr w:type="gramEnd"/>
      <w:r>
        <w:t xml:space="preserve"> view the materials. There is no cost.</w:t>
      </w:r>
    </w:p>
    <w:p w14:paraId="28359E17" w14:textId="77777777" w:rsidR="004662A8" w:rsidRDefault="004662A8">
      <w:pPr>
        <w:ind w:left="2160" w:firstLine="0"/>
      </w:pPr>
    </w:p>
    <w:p w14:paraId="28359E18" w14:textId="77777777" w:rsidR="004662A8" w:rsidRDefault="00513818">
      <w:pPr>
        <w:ind w:left="0" w:firstLine="0"/>
        <w:rPr>
          <w:b/>
          <w:i/>
        </w:rPr>
      </w:pPr>
      <w:r>
        <w:rPr>
          <w:b/>
          <w:i/>
        </w:rPr>
        <w:t>Required Readings</w:t>
      </w:r>
    </w:p>
    <w:p w14:paraId="28359E19" w14:textId="77777777" w:rsidR="004662A8" w:rsidRDefault="00513818">
      <w:pPr>
        <w:pBdr>
          <w:top w:val="nil"/>
          <w:left w:val="nil"/>
          <w:bottom w:val="nil"/>
          <w:right w:val="nil"/>
          <w:between w:val="nil"/>
        </w:pBdr>
        <w:spacing w:line="240" w:lineRule="auto"/>
        <w:ind w:left="0" w:firstLine="0"/>
      </w:pPr>
      <w:r>
        <w:t>Please r</w:t>
      </w:r>
      <w:r>
        <w:rPr>
          <w:color w:val="000000"/>
        </w:rPr>
        <w:t xml:space="preserve">ead the following textbook chapters and articles </w:t>
      </w:r>
      <w:r>
        <w:rPr>
          <w:b/>
          <w:u w:val="single"/>
        </w:rPr>
        <w:t>before</w:t>
      </w:r>
      <w:r>
        <w:t xml:space="preserve"> our next in-class lab session:</w:t>
      </w:r>
    </w:p>
    <w:p w14:paraId="28359E1A" w14:textId="77777777" w:rsidR="004662A8" w:rsidRDefault="004662A8">
      <w:pPr>
        <w:pBdr>
          <w:top w:val="nil"/>
          <w:left w:val="nil"/>
          <w:bottom w:val="nil"/>
          <w:right w:val="nil"/>
          <w:between w:val="nil"/>
        </w:pBdr>
        <w:spacing w:line="240" w:lineRule="auto"/>
        <w:ind w:left="0" w:firstLine="0"/>
      </w:pPr>
    </w:p>
    <w:p w14:paraId="28359E1B" w14:textId="4281FB68" w:rsidR="004662A8" w:rsidRDefault="00513818">
      <w:pPr>
        <w:numPr>
          <w:ilvl w:val="0"/>
          <w:numId w:val="3"/>
        </w:numPr>
        <w:pBdr>
          <w:top w:val="nil"/>
          <w:left w:val="nil"/>
          <w:bottom w:val="nil"/>
          <w:right w:val="nil"/>
          <w:between w:val="nil"/>
        </w:pBdr>
        <w:spacing w:line="240" w:lineRule="auto"/>
        <w:rPr>
          <w:color w:val="000000"/>
        </w:rPr>
      </w:pPr>
      <w:proofErr w:type="spellStart"/>
      <w:r>
        <w:t>Szklo</w:t>
      </w:r>
      <w:proofErr w:type="spellEnd"/>
      <w:r>
        <w:t xml:space="preserve">, M., &amp; Nieto, F. J. (2019). </w:t>
      </w:r>
      <w:r>
        <w:rPr>
          <w:i/>
        </w:rPr>
        <w:t>Epidemiology: Beyond the Basics</w:t>
      </w:r>
      <w:r>
        <w:t>. Burlington: Jones &amp; Bartlett Learning.</w:t>
      </w:r>
    </w:p>
    <w:p w14:paraId="28359E1C" w14:textId="77777777" w:rsidR="004662A8" w:rsidRDefault="00513818">
      <w:pPr>
        <w:numPr>
          <w:ilvl w:val="1"/>
          <w:numId w:val="3"/>
        </w:numPr>
        <w:pBdr>
          <w:top w:val="nil"/>
          <w:left w:val="nil"/>
          <w:bottom w:val="nil"/>
          <w:right w:val="nil"/>
          <w:between w:val="nil"/>
        </w:pBdr>
        <w:spacing w:line="240" w:lineRule="auto"/>
        <w:rPr>
          <w:color w:val="000000"/>
        </w:rPr>
      </w:pPr>
      <w:r>
        <w:rPr>
          <w:color w:val="000000"/>
        </w:rPr>
        <w:t>Chapter 10.1, 10.2, 10.2.2, 10.2.3, 10.2.4 (pages 437-456)</w:t>
      </w:r>
    </w:p>
    <w:p w14:paraId="42DF3411" w14:textId="77777777" w:rsidR="0055125F" w:rsidRPr="0055125F" w:rsidRDefault="00C5443B" w:rsidP="0055125F">
      <w:pPr>
        <w:pStyle w:val="ListParagraph"/>
        <w:numPr>
          <w:ilvl w:val="0"/>
          <w:numId w:val="3"/>
        </w:numPr>
        <w:spacing w:after="0" w:line="240" w:lineRule="auto"/>
        <w:rPr>
          <w:rFonts w:ascii="Times New Roman" w:eastAsia="Times New Roman" w:hAnsi="Times New Roman" w:cs="Times New Roman"/>
        </w:rPr>
      </w:pPr>
      <w:r w:rsidRPr="0055125F">
        <w:rPr>
          <w:rFonts w:ascii="Times New Roman" w:eastAsia="Times New Roman" w:hAnsi="Times New Roman" w:cs="Times New Roman"/>
        </w:rPr>
        <w:t xml:space="preserve">Pearl J., &amp; Mackenzie D. (2018). </w:t>
      </w:r>
      <w:r w:rsidRPr="0055125F">
        <w:rPr>
          <w:rFonts w:ascii="Times New Roman" w:eastAsia="Times New Roman" w:hAnsi="Times New Roman" w:cs="Times New Roman"/>
          <w:i/>
          <w:iCs/>
        </w:rPr>
        <w:t>The Book of Why: The New Science of Cause and Effect</w:t>
      </w:r>
      <w:r w:rsidRPr="0055125F">
        <w:rPr>
          <w:rFonts w:ascii="Times New Roman" w:eastAsia="Times New Roman" w:hAnsi="Times New Roman" w:cs="Times New Roman"/>
        </w:rPr>
        <w:t xml:space="preserve">. Basic Books. </w:t>
      </w:r>
    </w:p>
    <w:p w14:paraId="28359E20" w14:textId="260C59D6" w:rsidR="004662A8" w:rsidRPr="0055125F" w:rsidRDefault="0055125F" w:rsidP="0055125F">
      <w:pPr>
        <w:pStyle w:val="ListParagraph"/>
        <w:numPr>
          <w:ilvl w:val="1"/>
          <w:numId w:val="3"/>
        </w:numPr>
        <w:spacing w:after="0" w:line="240" w:lineRule="auto"/>
        <w:rPr>
          <w:rFonts w:ascii="Times New Roman" w:eastAsia="Times New Roman" w:hAnsi="Times New Roman" w:cs="Times New Roman"/>
        </w:rPr>
      </w:pPr>
      <w:r w:rsidRPr="0055125F">
        <w:rPr>
          <w:rFonts w:ascii="Times New Roman" w:hAnsi="Times New Roman" w:cs="Times New Roman"/>
          <w:color w:val="000000"/>
        </w:rPr>
        <w:t>Chapter 3. From Evidence to Causes: Reverend Bayes Meets Mr. Holmes</w:t>
      </w:r>
    </w:p>
    <w:p w14:paraId="52082F1F" w14:textId="77777777" w:rsidR="0055125F" w:rsidRPr="0055125F" w:rsidRDefault="0055125F" w:rsidP="0055125F">
      <w:pPr>
        <w:pStyle w:val="ListParagraph"/>
        <w:spacing w:after="0" w:line="240" w:lineRule="auto"/>
        <w:ind w:left="1440"/>
        <w:rPr>
          <w:rFonts w:ascii="Times New Roman" w:eastAsia="Times New Roman" w:hAnsi="Times New Roman" w:cs="Times New Roman"/>
        </w:rPr>
      </w:pPr>
    </w:p>
    <w:p w14:paraId="28359E21" w14:textId="77777777" w:rsidR="004662A8" w:rsidRDefault="00513818">
      <w:pPr>
        <w:ind w:left="0" w:firstLine="0"/>
        <w:rPr>
          <w:b/>
          <w:i/>
        </w:rPr>
      </w:pPr>
      <w:r>
        <w:rPr>
          <w:b/>
          <w:i/>
        </w:rPr>
        <w:t>Optional supplemental material</w:t>
      </w:r>
    </w:p>
    <w:p w14:paraId="28359E24" w14:textId="33A51D12" w:rsidR="004662A8" w:rsidRPr="00C5443B" w:rsidRDefault="00AB1EC0" w:rsidP="00407945">
      <w:pPr>
        <w:numPr>
          <w:ilvl w:val="0"/>
          <w:numId w:val="1"/>
        </w:numPr>
      </w:pPr>
      <w:hyperlink r:id="rId12">
        <w:proofErr w:type="spellStart"/>
        <w:r w:rsidR="00513818">
          <w:rPr>
            <w:color w:val="1155CC"/>
            <w:u w:val="single"/>
          </w:rPr>
          <w:t>Hernán</w:t>
        </w:r>
        <w:proofErr w:type="spellEnd"/>
        <w:r w:rsidR="00513818">
          <w:rPr>
            <w:color w:val="1155CC"/>
            <w:u w:val="single"/>
          </w:rPr>
          <w:t xml:space="preserve"> MA, Robins JM. </w:t>
        </w:r>
      </w:hyperlink>
      <w:hyperlink r:id="rId13">
        <w:r w:rsidR="00513818">
          <w:rPr>
            <w:i/>
            <w:color w:val="1155CC"/>
            <w:u w:val="single"/>
          </w:rPr>
          <w:t>Causal Inference: What If</w:t>
        </w:r>
      </w:hyperlink>
      <w:hyperlink r:id="rId14">
        <w:r w:rsidR="00513818">
          <w:rPr>
            <w:color w:val="1155CC"/>
            <w:u w:val="single"/>
          </w:rPr>
          <w:t>. CRC Press; 2020.</w:t>
        </w:r>
      </w:hyperlink>
    </w:p>
    <w:p w14:paraId="36EC9B6A" w14:textId="77777777" w:rsidR="00C5443B" w:rsidRDefault="00AB1EC0" w:rsidP="00C5443B">
      <w:pPr>
        <w:numPr>
          <w:ilvl w:val="0"/>
          <w:numId w:val="1"/>
        </w:numPr>
        <w:pBdr>
          <w:top w:val="nil"/>
          <w:left w:val="nil"/>
          <w:bottom w:val="nil"/>
          <w:right w:val="nil"/>
          <w:between w:val="nil"/>
        </w:pBdr>
        <w:spacing w:line="240" w:lineRule="auto"/>
        <w:rPr>
          <w:color w:val="000000"/>
        </w:rPr>
      </w:pPr>
      <w:hyperlink r:id="rId15">
        <w:r w:rsidR="00C5443B">
          <w:rPr>
            <w:color w:val="1155CC"/>
            <w:u w:val="single"/>
          </w:rPr>
          <w:t xml:space="preserve">Rothman, K. J., &amp; Greenland, S. (2005). Causation and causal inference in epidemiology. </w:t>
        </w:r>
      </w:hyperlink>
      <w:hyperlink r:id="rId16">
        <w:r w:rsidR="00C5443B">
          <w:rPr>
            <w:i/>
            <w:color w:val="1155CC"/>
            <w:u w:val="single"/>
          </w:rPr>
          <w:t>American Journal of Public Health</w:t>
        </w:r>
      </w:hyperlink>
      <w:hyperlink r:id="rId17">
        <w:r w:rsidR="00C5443B">
          <w:rPr>
            <w:color w:val="1155CC"/>
            <w:u w:val="single"/>
          </w:rPr>
          <w:t xml:space="preserve">, </w:t>
        </w:r>
      </w:hyperlink>
      <w:hyperlink r:id="rId18">
        <w:r w:rsidR="00C5443B">
          <w:rPr>
            <w:i/>
            <w:color w:val="1155CC"/>
            <w:u w:val="single"/>
          </w:rPr>
          <w:t>95 Suppl 1</w:t>
        </w:r>
      </w:hyperlink>
      <w:hyperlink r:id="rId19">
        <w:r w:rsidR="00C5443B">
          <w:rPr>
            <w:color w:val="1155CC"/>
            <w:u w:val="single"/>
          </w:rPr>
          <w:t>, S144–S150. https://doi.org/10.2105/AJPH.2004.059204</w:t>
        </w:r>
      </w:hyperlink>
    </w:p>
    <w:p w14:paraId="23E58358" w14:textId="77777777" w:rsidR="00C5443B" w:rsidRPr="00407945" w:rsidRDefault="00C5443B" w:rsidP="00C5443B">
      <w:pPr>
        <w:ind w:firstLine="0"/>
      </w:pPr>
    </w:p>
    <w:p w14:paraId="28359E25" w14:textId="77777777" w:rsidR="004662A8" w:rsidRDefault="00513818">
      <w:pPr>
        <w:ind w:left="0" w:firstLine="0"/>
        <w:rPr>
          <w:b/>
          <w:i/>
        </w:rPr>
      </w:pPr>
      <w:r>
        <w:rPr>
          <w:b/>
          <w:i/>
        </w:rPr>
        <w:t>Assignments</w:t>
      </w:r>
    </w:p>
    <w:p w14:paraId="28359E26" w14:textId="77777777" w:rsidR="004662A8" w:rsidRDefault="00513818">
      <w:pPr>
        <w:numPr>
          <w:ilvl w:val="0"/>
          <w:numId w:val="2"/>
        </w:numPr>
      </w:pPr>
      <w:r>
        <w:t>Check on learning quiz</w:t>
      </w:r>
    </w:p>
    <w:p w14:paraId="2CB3B69D" w14:textId="6DF4C3CA" w:rsidR="00AB1EC0" w:rsidRDefault="00AB1EC0">
      <w:pPr>
        <w:numPr>
          <w:ilvl w:val="0"/>
          <w:numId w:val="2"/>
        </w:numPr>
      </w:pPr>
      <w:r>
        <w:t>Lab</w:t>
      </w:r>
    </w:p>
    <w:p w14:paraId="6A940B60" w14:textId="3F56AC54" w:rsidR="00AB1EC0" w:rsidRDefault="00AB1EC0">
      <w:pPr>
        <w:numPr>
          <w:ilvl w:val="0"/>
          <w:numId w:val="2"/>
        </w:numPr>
      </w:pPr>
      <w:r>
        <w:t>Module quiz</w:t>
      </w:r>
    </w:p>
    <w:p w14:paraId="28359E27" w14:textId="77777777" w:rsidR="004662A8" w:rsidRDefault="004662A8">
      <w:pPr>
        <w:pBdr>
          <w:top w:val="nil"/>
          <w:left w:val="nil"/>
          <w:bottom w:val="nil"/>
          <w:right w:val="nil"/>
          <w:between w:val="nil"/>
        </w:pBdr>
        <w:spacing w:line="240" w:lineRule="auto"/>
        <w:ind w:left="0" w:firstLine="0"/>
      </w:pPr>
    </w:p>
    <w:sectPr w:rsidR="004662A8">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9799" w14:textId="77777777" w:rsidR="00CC4C52" w:rsidRDefault="00CC4C52">
      <w:pPr>
        <w:spacing w:line="240" w:lineRule="auto"/>
      </w:pPr>
      <w:r>
        <w:separator/>
      </w:r>
    </w:p>
  </w:endnote>
  <w:endnote w:type="continuationSeparator" w:id="0">
    <w:p w14:paraId="5A6164EC" w14:textId="77777777" w:rsidR="00CC4C52" w:rsidRDefault="00CC4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2225" w14:textId="77777777" w:rsidR="00CC4C52" w:rsidRDefault="00CC4C52">
      <w:pPr>
        <w:spacing w:line="240" w:lineRule="auto"/>
      </w:pPr>
      <w:r>
        <w:separator/>
      </w:r>
    </w:p>
  </w:footnote>
  <w:footnote w:type="continuationSeparator" w:id="0">
    <w:p w14:paraId="37E93F16" w14:textId="77777777" w:rsidR="00CC4C52" w:rsidRDefault="00CC4C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9E28" w14:textId="77777777" w:rsidR="004662A8" w:rsidRDefault="004662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17D4"/>
    <w:multiLevelType w:val="multilevel"/>
    <w:tmpl w:val="B3508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FB74BF"/>
    <w:multiLevelType w:val="multilevel"/>
    <w:tmpl w:val="4ED22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7A730F"/>
    <w:multiLevelType w:val="multilevel"/>
    <w:tmpl w:val="CBD8D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D1065C"/>
    <w:multiLevelType w:val="multilevel"/>
    <w:tmpl w:val="3010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EB2F66"/>
    <w:multiLevelType w:val="multilevel"/>
    <w:tmpl w:val="4D3C76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B8F6DCF"/>
    <w:multiLevelType w:val="multilevel"/>
    <w:tmpl w:val="FA986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2073023">
    <w:abstractNumId w:val="1"/>
  </w:num>
  <w:num w:numId="2" w16cid:durableId="1899701150">
    <w:abstractNumId w:val="5"/>
  </w:num>
  <w:num w:numId="3" w16cid:durableId="491531739">
    <w:abstractNumId w:val="3"/>
  </w:num>
  <w:num w:numId="4" w16cid:durableId="1591887161">
    <w:abstractNumId w:val="2"/>
  </w:num>
  <w:num w:numId="5" w16cid:durableId="49424063">
    <w:abstractNumId w:val="4"/>
  </w:num>
  <w:num w:numId="6" w16cid:durableId="67064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2A8"/>
    <w:rsid w:val="00407945"/>
    <w:rsid w:val="004662A8"/>
    <w:rsid w:val="00513818"/>
    <w:rsid w:val="0055125F"/>
    <w:rsid w:val="00AB1EC0"/>
    <w:rsid w:val="00AD1A25"/>
    <w:rsid w:val="00C5443B"/>
    <w:rsid w:val="00C673FC"/>
    <w:rsid w:val="00CC4C52"/>
    <w:rsid w:val="00D8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59E04"/>
  <w15:docId w15:val="{9EAFA560-D3F4-8B4C-8E5D-DF583926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86D79"/>
    <w:rPr>
      <w:color w:val="0000FF" w:themeColor="hyperlink"/>
      <w:u w:val="single"/>
    </w:rPr>
  </w:style>
  <w:style w:type="paragraph" w:styleId="ListParagraph">
    <w:name w:val="List Paragraph"/>
    <w:basedOn w:val="Normal"/>
    <w:uiPriority w:val="34"/>
    <w:qFormat/>
    <w:rsid w:val="00C5443B"/>
    <w:pPr>
      <w:spacing w:after="160" w:line="259" w:lineRule="auto"/>
      <w:ind w:firstLine="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sph.harvard.edu/miguel-hernan/causal-inference-book/" TargetMode="External"/><Relationship Id="rId18" Type="http://schemas.openxmlformats.org/officeDocument/2006/relationships/hyperlink" Target="https://doi.org/10.2105/AJPH.2004.059204"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hsph.harvard.edu/miguel-hernan/causal-inference-book/" TargetMode="External"/><Relationship Id="rId17" Type="http://schemas.openxmlformats.org/officeDocument/2006/relationships/hyperlink" Target="https://doi.org/10.2105/AJPH.2004.059204" TargetMode="External"/><Relationship Id="rId2" Type="http://schemas.openxmlformats.org/officeDocument/2006/relationships/customXml" Target="../customXml/item2.xml"/><Relationship Id="rId16" Type="http://schemas.openxmlformats.org/officeDocument/2006/relationships/hyperlink" Target="https://doi.org/10.2105/AJPH.2004.05920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sph.harvard.edu/miguel-hernan/" TargetMode="External"/><Relationship Id="rId5" Type="http://schemas.openxmlformats.org/officeDocument/2006/relationships/settings" Target="settings.xml"/><Relationship Id="rId15" Type="http://schemas.openxmlformats.org/officeDocument/2006/relationships/hyperlink" Target="https://doi.org/10.2105/AJPH.2004.059204" TargetMode="External"/><Relationship Id="rId10" Type="http://schemas.openxmlformats.org/officeDocument/2006/relationships/hyperlink" Target="https://www.edx.org/" TargetMode="External"/><Relationship Id="rId19" Type="http://schemas.openxmlformats.org/officeDocument/2006/relationships/hyperlink" Target="https://doi.org/10.2105/AJPH.2004.059204" TargetMode="External"/><Relationship Id="rId4" Type="http://schemas.openxmlformats.org/officeDocument/2006/relationships/styles" Target="styles.xml"/><Relationship Id="rId9" Type="http://schemas.openxmlformats.org/officeDocument/2006/relationships/hyperlink" Target="https://courses.edx.org/courses/course-v1:HarvardX+PH559x+3T2017/course/" TargetMode="External"/><Relationship Id="rId14" Type="http://schemas.openxmlformats.org/officeDocument/2006/relationships/hyperlink" Target="https://www.hsph.harvard.edu/miguel-hernan/causal-inference-boo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24373C-E584-4C9A-950A-12B317DED84A}">
  <ds:schemaRefs>
    <ds:schemaRef ds:uri="http://schemas.microsoft.com/sharepoint/v3/contenttype/forms"/>
  </ds:schemaRefs>
</ds:datastoreItem>
</file>

<file path=customXml/itemProps2.xml><?xml version="1.0" encoding="utf-8"?>
<ds:datastoreItem xmlns:ds="http://schemas.openxmlformats.org/officeDocument/2006/customXml" ds:itemID="{008E2B8C-3B9C-47AB-8691-60E5A5F8A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93ca1-6164-4dfb-aaf8-0aa60c0c70c2"/>
    <ds:schemaRef ds:uri="b3558f30-ae73-4668-947b-5578bd4f9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9</cp:revision>
  <dcterms:created xsi:type="dcterms:W3CDTF">2022-08-28T22:48:00Z</dcterms:created>
  <dcterms:modified xsi:type="dcterms:W3CDTF">2022-09-09T23:14:00Z</dcterms:modified>
</cp:coreProperties>
</file>