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Check-in with what they like and what they don’t like</w:t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1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3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the past, I’ve also said that I didn’t want you to focus too much on the PowerPoint presentations that Dr. Harrell and Dr. Lee are creating. However, from this point on you should pay attention to them because I will need to use questions they’ve created on the final exam. </w:t>
      </w:r>
    </w:p>
    <w:p w:rsidR="00000000" w:rsidDel="00000000" w:rsidP="00000000" w:rsidRDefault="00000000" w:rsidRPr="00000000" w14:paraId="00000016">
      <w:pPr>
        <w:pageBreakBefore w:val="0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the midterm.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Sorry guys. I was just informed over the weekend that I am discouraged from doing a final project in this course. Primarily because it’s a required course that has already been mapped to competencies. They want us all to use exams that have been mapped to competencies as well.</w:t>
      </w:r>
    </w:p>
    <w:p w:rsidR="00000000" w:rsidDel="00000000" w:rsidP="00000000" w:rsidRDefault="00000000" w:rsidRPr="00000000" w14:paraId="0000001B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/>
        <w:rPr/>
      </w:pPr>
      <w:r w:rsidDel="00000000" w:rsidR="00000000" w:rsidRPr="00000000">
        <w:rPr>
          <w:rtl w:val="0"/>
        </w:rPr>
        <w:t xml:space="preserve">Slide notes: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Recall bias is important, but pointing out that case-control isn’t inferior in this way isn’t crucial.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Case-control studies can be conceptualized as a more efficient version of a corresponding case-control study. Rather than including all of the experience of the source population that gave rise to the cases (the study base), as would be the usual practice in a cohort design, controls are selected from the source population.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certain assumptions are made (e.g., sampling independent of exposure), then we can estimate RR, IRR from case-control data.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23A8D340-8EE8-473E-9E0A-B9A5A87FD057}"/>
</file>

<file path=customXml/itemProps2.xml><?xml version="1.0" encoding="utf-8"?>
<ds:datastoreItem xmlns:ds="http://schemas.openxmlformats.org/officeDocument/2006/customXml" ds:itemID="{C5C7A9D8-60A6-488D-8A69-4D6F22BAF054}"/>
</file>

<file path=customXml/itemProps3.xml><?xml version="1.0" encoding="utf-8"?>
<ds:datastoreItem xmlns:ds="http://schemas.openxmlformats.org/officeDocument/2006/customXml" ds:itemID="{DE23E246-CFDF-4A62-9B2E-3C0DB5F7A8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