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EEE4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2D86EEE5" w14:textId="77777777" w:rsidR="00ED0DCD" w:rsidRDefault="00ED0DCD">
      <w:pPr>
        <w:ind w:left="0" w:firstLine="0"/>
      </w:pPr>
    </w:p>
    <w:p w14:paraId="2D86EEE6" w14:textId="77777777" w:rsidR="00ED0DCD" w:rsidRDefault="00FB3C08">
      <w:pPr>
        <w:ind w:left="0" w:firstLine="0"/>
      </w:pPr>
      <w:r>
        <w:t>“A study that includes as subjects all persons in the population at the time of ascertainment or a representative sample of all such persons, selected without regard to exposure or disease status, is usually referred to as a cross-sectional study. A cross-</w:t>
      </w:r>
      <w:r>
        <w:t>sectional study conducted to estimate prevalence is called a prevalence study. Usually, exposure is ascertained simultaneously with the disease, and different exposure subpopulations are compared with respect to their disease prevalence.”</w:t>
      </w:r>
    </w:p>
    <w:p w14:paraId="2D86EEE7" w14:textId="77777777" w:rsidR="00ED0DCD" w:rsidRDefault="00ED0DCD">
      <w:pPr>
        <w:ind w:left="0" w:firstLine="0"/>
      </w:pPr>
    </w:p>
    <w:p w14:paraId="2D86EEE8" w14:textId="77777777" w:rsidR="00ED0DCD" w:rsidRDefault="00FB3C08">
      <w:pPr>
        <w:numPr>
          <w:ilvl w:val="0"/>
          <w:numId w:val="6"/>
        </w:numPr>
      </w:pPr>
      <w:r>
        <w:t>Rothman K, Green</w:t>
      </w:r>
      <w:r>
        <w:t>land S, &amp; Lash T. Modern Epidemiology (p. 97).</w:t>
      </w:r>
    </w:p>
    <w:p w14:paraId="2D86EEE9" w14:textId="77777777" w:rsidR="00ED0DCD" w:rsidRDefault="00ED0DCD">
      <w:pPr>
        <w:ind w:left="0" w:firstLine="0"/>
        <w:rPr>
          <w:b/>
          <w:i/>
        </w:rPr>
      </w:pPr>
    </w:p>
    <w:p w14:paraId="2D86EEEA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2D86EEEB" w14:textId="77777777" w:rsidR="00ED0DCD" w:rsidRDefault="00FB3C08">
      <w:pPr>
        <w:numPr>
          <w:ilvl w:val="0"/>
          <w:numId w:val="5"/>
        </w:numPr>
      </w:pPr>
      <w:r>
        <w:t>Overview of cross-sectional study design</w:t>
      </w:r>
    </w:p>
    <w:p w14:paraId="2D86EEEC" w14:textId="77777777" w:rsidR="00ED0DCD" w:rsidRDefault="00FB3C08">
      <w:pPr>
        <w:numPr>
          <w:ilvl w:val="0"/>
          <w:numId w:val="4"/>
        </w:numPr>
      </w:pPr>
      <w:r>
        <w:t>Sampling in cross-sectional study design</w:t>
      </w:r>
    </w:p>
    <w:p w14:paraId="2D86EEED" w14:textId="77777777" w:rsidR="00ED0DCD" w:rsidRDefault="00FB3C08">
      <w:pPr>
        <w:numPr>
          <w:ilvl w:val="0"/>
          <w:numId w:val="4"/>
        </w:numPr>
      </w:pPr>
      <w:r>
        <w:t>Bias in cross-sectional studies</w:t>
      </w:r>
    </w:p>
    <w:p w14:paraId="2D86EEEE" w14:textId="77777777" w:rsidR="00ED0DCD" w:rsidRDefault="00ED0DCD"/>
    <w:p w14:paraId="2D86EEEF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Required videos</w:t>
      </w:r>
    </w:p>
    <w:p w14:paraId="2D86EEF0" w14:textId="77777777" w:rsidR="00ED0DCD" w:rsidRDefault="00FB3C08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o</w:t>
      </w:r>
      <w:r>
        <w:t>ur next in-class lab session:</w:t>
      </w:r>
    </w:p>
    <w:p w14:paraId="2D86EEF1" w14:textId="77777777" w:rsidR="00ED0DCD" w:rsidRDefault="00ED0DCD">
      <w:pPr>
        <w:spacing w:line="240" w:lineRule="auto"/>
      </w:pPr>
    </w:p>
    <w:p w14:paraId="2D86EEF2" w14:textId="77777777" w:rsidR="00ED0DCD" w:rsidRDefault="00FB3C08">
      <w:pPr>
        <w:numPr>
          <w:ilvl w:val="0"/>
          <w:numId w:val="7"/>
        </w:numPr>
        <w:spacing w:line="240" w:lineRule="auto"/>
      </w:pPr>
      <w:r>
        <w:t>Cross-sectional Studies I (Harrell, 2020)</w:t>
      </w:r>
    </w:p>
    <w:p w14:paraId="2D86EEF3" w14:textId="77777777" w:rsidR="00ED0DCD" w:rsidRDefault="00FB3C08">
      <w:pPr>
        <w:numPr>
          <w:ilvl w:val="1"/>
          <w:numId w:val="7"/>
        </w:numPr>
      </w:pPr>
      <w:r>
        <w:t xml:space="preserve">Original </w:t>
      </w:r>
      <w:proofErr w:type="spellStart"/>
      <w:r>
        <w:t>powerpoints</w:t>
      </w:r>
      <w:proofErr w:type="spellEnd"/>
      <w:r>
        <w:t xml:space="preserve"> are also posted, as each presentation is scripted out. Some students find it useful to print out the “notes pages” from them to create a binder of the materials.</w:t>
      </w:r>
    </w:p>
    <w:p w14:paraId="2D86EEF4" w14:textId="77777777" w:rsidR="00ED0DCD" w:rsidRDefault="00FB3C08">
      <w:pPr>
        <w:numPr>
          <w:ilvl w:val="0"/>
          <w:numId w:val="7"/>
        </w:numPr>
      </w:pPr>
      <w:hyperlink r:id="rId9">
        <w:r>
          <w:rPr>
            <w:color w:val="1155CC"/>
            <w:u w:val="single"/>
          </w:rPr>
          <w:t>Sampling in cross-sectional studies</w:t>
        </w:r>
      </w:hyperlink>
      <w:r>
        <w:t xml:space="preserve"> (Caetano, Unknown)</w:t>
      </w:r>
    </w:p>
    <w:p w14:paraId="2D86EEF5" w14:textId="77777777" w:rsidR="00ED0DCD" w:rsidRDefault="00ED0DCD">
      <w:pPr>
        <w:ind w:left="2160" w:firstLine="0"/>
      </w:pPr>
    </w:p>
    <w:p w14:paraId="2D86EEF6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2D86EEF7" w14:textId="77777777" w:rsidR="00ED0DCD" w:rsidRDefault="00FB3C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>Please r</w:t>
      </w:r>
      <w:r>
        <w:rPr>
          <w:color w:val="000000"/>
        </w:rPr>
        <w:t xml:space="preserve">ead the following </w:t>
      </w:r>
      <w:r>
        <w:rPr>
          <w:color w:val="000000"/>
        </w:rPr>
        <w:t xml:space="preserve">textbook chapters and articles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2D86EEF8" w14:textId="77777777" w:rsidR="00ED0DCD" w:rsidRDefault="00ED0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2D86EEF9" w14:textId="77777777" w:rsidR="00ED0DCD" w:rsidRDefault="00FB3C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t>Szklo</w:t>
      </w:r>
      <w:proofErr w:type="spellEnd"/>
      <w:r>
        <w:t xml:space="preserve">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2D86EEFA" w14:textId="77777777" w:rsidR="00ED0DCD" w:rsidRDefault="00FB3C08">
      <w:pPr>
        <w:numPr>
          <w:ilvl w:val="1"/>
          <w:numId w:val="1"/>
        </w:numPr>
      </w:pPr>
      <w:proofErr w:type="spellStart"/>
      <w:r>
        <w:t>Szklo</w:t>
      </w:r>
      <w:proofErr w:type="spellEnd"/>
      <w:r>
        <w:t xml:space="preserve"> &amp; Nieto: Chapter 1, part 1.4.3 (p.32-34)</w:t>
      </w:r>
    </w:p>
    <w:p w14:paraId="2D86EEFB" w14:textId="77777777" w:rsidR="00ED0DCD" w:rsidRDefault="00FB3C08">
      <w:pPr>
        <w:numPr>
          <w:ilvl w:val="1"/>
          <w:numId w:val="1"/>
        </w:numPr>
      </w:pPr>
      <w:proofErr w:type="spellStart"/>
      <w:r>
        <w:t>Szklo</w:t>
      </w:r>
      <w:proofErr w:type="spellEnd"/>
      <w:r>
        <w:t xml:space="preserve"> &amp; Nieto: Chapter 3, part 3.</w:t>
      </w:r>
      <w:r>
        <w:t>3 (p.102-103)</w:t>
      </w:r>
    </w:p>
    <w:p w14:paraId="2D86EEFC" w14:textId="77777777" w:rsidR="00ED0DCD" w:rsidRDefault="00FB3C08">
      <w:pPr>
        <w:numPr>
          <w:ilvl w:val="1"/>
          <w:numId w:val="1"/>
        </w:numPr>
      </w:pPr>
      <w:proofErr w:type="spellStart"/>
      <w:r>
        <w:t>Szklo</w:t>
      </w:r>
      <w:proofErr w:type="spellEnd"/>
      <w:r>
        <w:t xml:space="preserve"> &amp; Nieto: Chapter 4, part 4.4.2 (p.154-159)</w:t>
      </w:r>
    </w:p>
    <w:p w14:paraId="36C93265" w14:textId="77777777" w:rsidR="00FB3C08" w:rsidRPr="008F4AFF" w:rsidRDefault="00FB3C08" w:rsidP="00FB3C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38763AE7" w14:textId="7C582898" w:rsidR="00947DDB" w:rsidRPr="00FB3C08" w:rsidRDefault="00FB3C08" w:rsidP="00FB3C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 w:rsidRPr="00FB3C08">
        <w:rPr>
          <w:color w:val="000000"/>
        </w:rPr>
        <w:t>10. Big Data, Artificial Intelligence, and the Big Questions</w:t>
      </w:r>
    </w:p>
    <w:p w14:paraId="2D86EEFD" w14:textId="77777777" w:rsidR="00ED0DCD" w:rsidRDefault="00ED0DC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D86EEFE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2D86EEFF" w14:textId="77777777" w:rsidR="00ED0DCD" w:rsidRDefault="00FB3C08">
      <w:pPr>
        <w:numPr>
          <w:ilvl w:val="0"/>
          <w:numId w:val="2"/>
        </w:numPr>
      </w:pPr>
      <w:r>
        <w:t>None</w:t>
      </w:r>
    </w:p>
    <w:p w14:paraId="2D86EF00" w14:textId="77777777" w:rsidR="00ED0DCD" w:rsidRDefault="00ED0DCD">
      <w:pPr>
        <w:ind w:left="0" w:firstLine="0"/>
        <w:rPr>
          <w:b/>
          <w:i/>
        </w:rPr>
      </w:pPr>
    </w:p>
    <w:p w14:paraId="2D86EF01" w14:textId="77777777" w:rsidR="00ED0DCD" w:rsidRDefault="00FB3C08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2D86EF02" w14:textId="77777777" w:rsidR="00ED0DCD" w:rsidRDefault="00FB3C08">
      <w:pPr>
        <w:numPr>
          <w:ilvl w:val="0"/>
          <w:numId w:val="3"/>
        </w:numPr>
      </w:pPr>
      <w:r>
        <w:t>Check on learning quiz</w:t>
      </w:r>
    </w:p>
    <w:p w14:paraId="2D86EF03" w14:textId="77777777" w:rsidR="00ED0DCD" w:rsidRDefault="00FB3C08">
      <w:pPr>
        <w:numPr>
          <w:ilvl w:val="0"/>
          <w:numId w:val="3"/>
        </w:numPr>
      </w:pPr>
      <w:r>
        <w:t xml:space="preserve">Lab </w:t>
      </w:r>
    </w:p>
    <w:p w14:paraId="540FA34C" w14:textId="06416F16" w:rsidR="00FB3C08" w:rsidRDefault="00FB3C08">
      <w:pPr>
        <w:numPr>
          <w:ilvl w:val="0"/>
          <w:numId w:val="3"/>
        </w:numPr>
      </w:pPr>
      <w:r>
        <w:t>Module quiz</w:t>
      </w:r>
    </w:p>
    <w:sectPr w:rsidR="00FB3C0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EF09" w14:textId="77777777" w:rsidR="00000000" w:rsidRDefault="00FB3C08">
      <w:pPr>
        <w:spacing w:line="240" w:lineRule="auto"/>
      </w:pPr>
      <w:r>
        <w:separator/>
      </w:r>
    </w:p>
  </w:endnote>
  <w:endnote w:type="continuationSeparator" w:id="0">
    <w:p w14:paraId="2D86EF0B" w14:textId="77777777" w:rsidR="00000000" w:rsidRDefault="00FB3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EF05" w14:textId="77777777" w:rsidR="00000000" w:rsidRDefault="00FB3C08">
      <w:pPr>
        <w:spacing w:line="240" w:lineRule="auto"/>
      </w:pPr>
      <w:r>
        <w:separator/>
      </w:r>
    </w:p>
  </w:footnote>
  <w:footnote w:type="continuationSeparator" w:id="0">
    <w:p w14:paraId="2D86EF07" w14:textId="77777777" w:rsidR="00000000" w:rsidRDefault="00FB3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EF04" w14:textId="77777777" w:rsidR="00ED0DCD" w:rsidRDefault="00ED0D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8E9"/>
    <w:multiLevelType w:val="multilevel"/>
    <w:tmpl w:val="F55C9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84B43"/>
    <w:multiLevelType w:val="multilevel"/>
    <w:tmpl w:val="18C48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8763E3"/>
    <w:multiLevelType w:val="multilevel"/>
    <w:tmpl w:val="90160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6146F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C66A49"/>
    <w:multiLevelType w:val="multilevel"/>
    <w:tmpl w:val="86A60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A580C"/>
    <w:multiLevelType w:val="multilevel"/>
    <w:tmpl w:val="F6B649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CA4247"/>
    <w:multiLevelType w:val="multilevel"/>
    <w:tmpl w:val="B74C6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9493996">
    <w:abstractNumId w:val="3"/>
  </w:num>
  <w:num w:numId="2" w16cid:durableId="1450080274">
    <w:abstractNumId w:val="1"/>
  </w:num>
  <w:num w:numId="3" w16cid:durableId="1760254907">
    <w:abstractNumId w:val="4"/>
  </w:num>
  <w:num w:numId="4" w16cid:durableId="1575313014">
    <w:abstractNumId w:val="5"/>
  </w:num>
  <w:num w:numId="5" w16cid:durableId="1548450149">
    <w:abstractNumId w:val="0"/>
  </w:num>
  <w:num w:numId="6" w16cid:durableId="2076007538">
    <w:abstractNumId w:val="6"/>
  </w:num>
  <w:num w:numId="7" w16cid:durableId="1496070887">
    <w:abstractNumId w:val="7"/>
  </w:num>
  <w:num w:numId="8" w16cid:durableId="76194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CD"/>
    <w:rsid w:val="00947DDB"/>
    <w:rsid w:val="00ED0DCD"/>
    <w:rsid w:val="00FB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6EEE4"/>
  <w15:docId w15:val="{544DE138-D711-6642-81AD-C06F0AE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3C08"/>
    <w:pPr>
      <w:spacing w:after="160" w:line="259" w:lineRule="auto"/>
      <w:ind w:firstLine="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video.sph.uth.tmc.edu/media/camtasia/Caetano4/cross_sectional_produc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88CEE-EA19-4259-B46E-A20D1D8721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DB83D-0561-48E2-97ED-E8C699BDA7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3</cp:revision>
  <dcterms:created xsi:type="dcterms:W3CDTF">2022-09-09T23:13:00Z</dcterms:created>
  <dcterms:modified xsi:type="dcterms:W3CDTF">2022-09-09T23:13:00Z</dcterms:modified>
</cp:coreProperties>
</file>