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Module overview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“A study that includes as subjects all persons in the population at the time of ascertainment or a representative sample of all such persons, selected without regard to exposure or disease status, is usually referred to as a cross-sectional study. A cross-sectional study conducted to estimate prevalence is called a prevalence study. Usually, exposure is ascertained simultaneously with the disease, and different exposure subpopulations are compared with respect to their disease prevalence.”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Rothman K, Greenland S, &amp; Lash T. Modern Epidemiology (p. 97).</w:t>
      </w:r>
    </w:p>
    <w:p w:rsidR="00000000" w:rsidDel="00000000" w:rsidP="00000000" w:rsidRDefault="00000000" w:rsidRPr="00000000" w14:paraId="00000006">
      <w:pPr>
        <w:pageBreakBefore w:val="0"/>
        <w:spacing w:after="0" w:line="276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76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Module topics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of data from cross-sectional studies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Interpretation of results from cross-sectional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Required videos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Please view the following presentations </w:t>
      </w:r>
      <w:r w:rsidDel="00000000" w:rsidR="00000000" w:rsidRPr="00000000">
        <w:rPr>
          <w:b w:val="1"/>
          <w:u w:val="single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our next in-class lab session: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Cross-sectional Studies II</w:t>
      </w:r>
      <w:r w:rsidDel="00000000" w:rsidR="00000000" w:rsidRPr="00000000">
        <w:rPr>
          <w:rtl w:val="0"/>
        </w:rPr>
        <w:t xml:space="preserve"> (Lee,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Statistical Methods: Linear and logistic regression </w:t>
      </w:r>
      <w:r w:rsidDel="00000000" w:rsidR="00000000" w:rsidRPr="00000000">
        <w:rPr>
          <w:rtl w:val="0"/>
        </w:rPr>
        <w:t xml:space="preserve">(Lee,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Required Readings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Please r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 the following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textbook chapters and articles </w:t>
      </w:r>
      <w:r w:rsidDel="00000000" w:rsidR="00000000" w:rsidRPr="00000000">
        <w:rPr>
          <w:b w:val="1"/>
          <w:u w:val="single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our next in-class lab session: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Szklo, M., &amp; Nieto, F. J. (2019). </w:t>
      </w:r>
      <w:r w:rsidDel="00000000" w:rsidR="00000000" w:rsidRPr="00000000">
        <w:rPr>
          <w:i w:val="1"/>
          <w:rtl w:val="0"/>
        </w:rPr>
        <w:t xml:space="preserve">Epidemiology: Beyond the Basics</w:t>
      </w:r>
      <w:r w:rsidDel="00000000" w:rsidR="00000000" w:rsidRPr="00000000">
        <w:rPr>
          <w:rtl w:val="0"/>
        </w:rPr>
        <w:t xml:space="preserve">. Burlington: Jones &amp; Bartlett Lea</w:t>
      </w:r>
      <w:r w:rsidDel="00000000" w:rsidR="00000000" w:rsidRPr="00000000">
        <w:rPr>
          <w:rtl w:val="0"/>
        </w:rPr>
        <w:t xml:space="preserve">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Szklo &amp; Nieto: Chapter 1, part 1.4.3 (p.32-34)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Szklo &amp; Nieto: Chapter 4, part 4.4.2 (p.154-159)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Szklo &amp; Nieto: Chapter 7, part 7.4 (p.279-299)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Optional supplemental material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Assignments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Check on learning quiz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Props1.xml><?xml version="1.0" encoding="utf-8"?>
<ds:datastoreItem xmlns:ds="http://schemas.openxmlformats.org/officeDocument/2006/customXml" ds:itemID="{CE2E128A-FCD5-4E77-8BCA-4B11B3686956}"/>
</file>

<file path=customXml/itemProps2.xml><?xml version="1.0" encoding="utf-8"?>
<ds:datastoreItem xmlns:ds="http://schemas.openxmlformats.org/officeDocument/2006/customXml" ds:itemID="{7D488C12-D448-4513-A4AD-27D9A0A77294}"/>
</file>

<file path=customXml/itemProps3.xml><?xml version="1.0" encoding="utf-8"?>
<ds:datastoreItem xmlns:ds="http://schemas.openxmlformats.org/officeDocument/2006/customXml" ds:itemID="{60568DF6-F22F-49A9-ACCE-31F98D47B10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</Properties>
</file>