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CFEB8" w14:textId="77777777" w:rsidR="00B94641" w:rsidRPr="00555137" w:rsidRDefault="009B2E88" w:rsidP="00555137">
      <w:pPr>
        <w:pStyle w:val="Title"/>
        <w:jc w:val="left"/>
        <w:rPr>
          <w:sz w:val="22"/>
          <w:szCs w:val="22"/>
        </w:rPr>
      </w:pPr>
      <w:r w:rsidRPr="00555137">
        <w:rPr>
          <w:sz w:val="22"/>
          <w:szCs w:val="22"/>
        </w:rPr>
        <w:t xml:space="preserve">Table 2. </w:t>
      </w:r>
      <w:r w:rsidRPr="00555137">
        <w:rPr>
          <w:b w:val="0"/>
          <w:sz w:val="22"/>
          <w:szCs w:val="22"/>
        </w:rPr>
        <w:t>Unadjusted and adjusted odds of global sexual dissatisfaction and sexual frequency dissatisfaction at baseline, results from the Women’s Health Initiative (WHI) (N = 83,218).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21"/>
        <w:gridCol w:w="2052"/>
        <w:gridCol w:w="1967"/>
        <w:gridCol w:w="2310"/>
        <w:gridCol w:w="2226"/>
      </w:tblGrid>
      <w:tr w:rsidR="00B94641" w:rsidRPr="00555137" w14:paraId="206602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D49C5A" w14:textId="77777777" w:rsidR="00B94641" w:rsidRPr="00555137" w:rsidRDefault="009B2E88">
            <w:pPr>
              <w:pStyle w:val="Compact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Recent Abuse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7F1BC9" w14:textId="77777777" w:rsidR="00B94641" w:rsidRPr="00555137" w:rsidRDefault="009B2E88" w:rsidP="00555137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Unsatisfied with Sexual Activity Unadjusted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59C7DC" w14:textId="77777777" w:rsidR="00B94641" w:rsidRPr="00555137" w:rsidRDefault="009B2E88" w:rsidP="00555137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Unsatisfied with Sexual Activity Adjusted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551498" w14:textId="77777777" w:rsidR="00B94641" w:rsidRPr="00555137" w:rsidRDefault="009B2E88" w:rsidP="00555137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Unsatisfied with Sexual Activity Frequency Unadjusted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03E49C" w14:textId="77777777" w:rsidR="00B94641" w:rsidRPr="00555137" w:rsidRDefault="009B2E88" w:rsidP="00555137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Unsatisfied with Sexual Activity Frequency Adjusted</w:t>
            </w:r>
          </w:p>
        </w:tc>
      </w:tr>
      <w:tr w:rsidR="00B94641" w:rsidRPr="00555137" w14:paraId="2A138B2D" w14:textId="77777777">
        <w:tc>
          <w:tcPr>
            <w:tcW w:w="0" w:type="auto"/>
          </w:tcPr>
          <w:p w14:paraId="0489FD50" w14:textId="77777777" w:rsidR="00B94641" w:rsidRPr="00555137" w:rsidRDefault="00B94641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CC78BAD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OR (95% CI)</w:t>
            </w:r>
          </w:p>
        </w:tc>
        <w:tc>
          <w:tcPr>
            <w:tcW w:w="0" w:type="auto"/>
          </w:tcPr>
          <w:p w14:paraId="4E464CBB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OR (95% CI)</w:t>
            </w:r>
          </w:p>
        </w:tc>
        <w:tc>
          <w:tcPr>
            <w:tcW w:w="0" w:type="auto"/>
          </w:tcPr>
          <w:p w14:paraId="79FA7673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OR (95% CI)</w:t>
            </w:r>
          </w:p>
        </w:tc>
        <w:tc>
          <w:tcPr>
            <w:tcW w:w="0" w:type="auto"/>
          </w:tcPr>
          <w:p w14:paraId="189F15C9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OR (95% CI)</w:t>
            </w:r>
          </w:p>
        </w:tc>
      </w:tr>
      <w:tr w:rsidR="00B94641" w:rsidRPr="00555137" w14:paraId="39E1EC9B" w14:textId="77777777" w:rsidTr="00555137">
        <w:tc>
          <w:tcPr>
            <w:tcW w:w="0" w:type="auto"/>
          </w:tcPr>
          <w:p w14:paraId="4ACEF7F1" w14:textId="77777777" w:rsidR="00B94641" w:rsidRPr="00555137" w:rsidRDefault="009B2E88">
            <w:pPr>
              <w:pStyle w:val="Compact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10AB40B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12A9B528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13978AFD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37BBC784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</w:tc>
      </w:tr>
      <w:tr w:rsidR="00B94641" w:rsidRPr="00555137" w14:paraId="1D3E5924" w14:textId="77777777" w:rsidTr="00555137">
        <w:tc>
          <w:tcPr>
            <w:tcW w:w="0" w:type="auto"/>
            <w:tcBorders>
              <w:bottom w:val="single" w:sz="4" w:space="0" w:color="auto"/>
            </w:tcBorders>
          </w:tcPr>
          <w:p w14:paraId="2B3EC9C8" w14:textId="77777777" w:rsidR="00B94641" w:rsidRPr="00555137" w:rsidRDefault="00555137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CFBE79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1.92 (1.83 - 2.01)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CAE002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1.48 (1.37 - 1.59)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005B1D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2.05 (1.96 - 2.15)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B4055C" w14:textId="77777777" w:rsidR="00B94641" w:rsidRPr="00555137" w:rsidRDefault="009B2E88" w:rsidP="00555137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1.56 (1.41 - 1.72)</w:t>
            </w:r>
          </w:p>
        </w:tc>
      </w:tr>
    </w:tbl>
    <w:p w14:paraId="7BEE7C9C" w14:textId="77777777" w:rsidR="00B94641" w:rsidRPr="00555137" w:rsidRDefault="009B2E88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555137">
        <w:rPr>
          <w:sz w:val="20"/>
          <w:szCs w:val="20"/>
        </w:rPr>
        <w:t>Sexual satisfaction measured as level of satisfaction with current sexual activities, either with a partner or alone.</w:t>
      </w:r>
    </w:p>
    <w:p w14:paraId="072F7844" w14:textId="77777777" w:rsidR="00B94641" w:rsidRPr="00555137" w:rsidRDefault="009B2E88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555137">
        <w:rPr>
          <w:sz w:val="20"/>
          <w:szCs w:val="20"/>
        </w:rPr>
        <w:t>Sexual frequency satisfaction measured as satisfaction with t</w:t>
      </w:r>
      <w:r w:rsidRPr="00555137">
        <w:rPr>
          <w:sz w:val="20"/>
          <w:szCs w:val="20"/>
        </w:rPr>
        <w:t>he frequency of sexual activity.</w:t>
      </w:r>
    </w:p>
    <w:p w14:paraId="43258B77" w14:textId="77777777" w:rsidR="00B94641" w:rsidRPr="00555137" w:rsidRDefault="009B2E88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555137">
        <w:rPr>
          <w:sz w:val="20"/>
          <w:szCs w:val="20"/>
        </w:rPr>
        <w:t>Adjusted for relevant health history (including depression) and sociodemographic characteristics.</w:t>
      </w:r>
    </w:p>
    <w:p w14:paraId="12642801" w14:textId="77777777" w:rsidR="00B94641" w:rsidRPr="00555137" w:rsidRDefault="009B2E88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555137">
        <w:rPr>
          <w:sz w:val="20"/>
          <w:szCs w:val="20"/>
        </w:rPr>
        <w:t>Recent abuse measured as physica</w:t>
      </w:r>
      <w:bookmarkStart w:id="0" w:name="_GoBack"/>
      <w:bookmarkEnd w:id="0"/>
      <w:r w:rsidRPr="00555137">
        <w:rPr>
          <w:sz w:val="20"/>
          <w:szCs w:val="20"/>
        </w:rPr>
        <w:t>l abuse and/or verbal abuse experienced within one year of baseline.</w:t>
      </w:r>
    </w:p>
    <w:sectPr w:rsidR="00B94641" w:rsidRPr="005551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02FBA" w14:textId="77777777" w:rsidR="009B2E88" w:rsidRDefault="009B2E88">
      <w:pPr>
        <w:spacing w:after="0"/>
      </w:pPr>
      <w:r>
        <w:separator/>
      </w:r>
    </w:p>
  </w:endnote>
  <w:endnote w:type="continuationSeparator" w:id="0">
    <w:p w14:paraId="31B4497C" w14:textId="77777777" w:rsidR="009B2E88" w:rsidRDefault="009B2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70D5B" w14:textId="77777777" w:rsidR="009B2E88" w:rsidRDefault="009B2E88">
      <w:r>
        <w:separator/>
      </w:r>
    </w:p>
  </w:footnote>
  <w:footnote w:type="continuationSeparator" w:id="0">
    <w:p w14:paraId="2613BD18" w14:textId="77777777" w:rsidR="009B2E88" w:rsidRDefault="009B2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5464B1"/>
    <w:multiLevelType w:val="multilevel"/>
    <w:tmpl w:val="CCB6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01A8C9"/>
    <w:multiLevelType w:val="multilevel"/>
    <w:tmpl w:val="0B02B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3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55137"/>
    <w:rsid w:val="00590D07"/>
    <w:rsid w:val="00784D58"/>
    <w:rsid w:val="008D6863"/>
    <w:rsid w:val="009B2E88"/>
    <w:rsid w:val="00B86B75"/>
    <w:rsid w:val="00B9464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B08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2. Unadjusted and adjusted odds of global sexual dissatisfaction and sexual frequency dissatisfaction at baseline, results from the Women’s Health Initiative (WHI) (N = 83,218).</dc:title>
  <dc:creator/>
  <cp:lastModifiedBy>Cannell, Brad</cp:lastModifiedBy>
  <cp:revision>2</cp:revision>
  <dcterms:created xsi:type="dcterms:W3CDTF">2017-05-14T18:50:00Z</dcterms:created>
  <dcterms:modified xsi:type="dcterms:W3CDTF">2017-05-14T18:52:00Z</dcterms:modified>
</cp:coreProperties>
</file>