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200" w:before="0"/>
        <w:jc w:val="center"/>
      </w:pPr>
      <w:r>
        <w:rPr>
          <w:rFonts w:ascii="Arial" w:cs="Arial" w:eastAsia="Arial" w:hAnsi="Arial"/>
          <w:b/>
          <w:bCs/>
          <w:color w:val="888888"/>
          <w:sz w:val="20"/>
          <w:szCs w:val="20"/>
        </w:rPr>
        <w:t xml:space="preserve">FORMAL STUDY PROTOCOL</w:t>
      </w:r>
    </w:p>
    <w:p>
      <w:pPr>
        <w:spacing w:after="120" w:before="0"/>
        <w:jc w:val="center"/>
      </w:pPr>
      <w:r>
        <w:rPr>
          <w:rFonts w:ascii="Arial" w:cs="Arial" w:eastAsia="Arial" w:hAnsi="Arial"/>
          <w:b/>
          <w:bCs/>
          <w:color w:val="1F4E79"/>
          <w:sz w:val="36"/>
          <w:szCs w:val="36"/>
        </w:rPr>
        <w:t xml:space="preserve">Stage at Diagnosis, Surgical Treatment Utilization,</w:t>
      </w:r>
    </w:p>
    <w:p>
      <w:pPr>
        <w:spacing w:after="120" w:before="0"/>
        <w:jc w:val="center"/>
      </w:pPr>
      <w:r>
        <w:rPr>
          <w:rFonts w:ascii="Arial" w:cs="Arial" w:eastAsia="Arial" w:hAnsi="Arial"/>
          <w:b/>
          <w:bCs/>
          <w:color w:val="1F4E79"/>
          <w:sz w:val="36"/>
          <w:szCs w:val="36"/>
        </w:rPr>
        <w:t xml:space="preserve">and Survival Outcomes in Muscle-Invasive and</w:t>
      </w:r>
    </w:p>
    <w:p>
      <w:pPr>
        <w:spacing w:after="120" w:before="0"/>
        <w:jc w:val="center"/>
      </w:pPr>
      <w:r>
        <w:rPr>
          <w:rFonts w:ascii="Arial" w:cs="Arial" w:eastAsia="Arial" w:hAnsi="Arial"/>
          <w:b/>
          <w:bCs/>
          <w:color w:val="1F4E79"/>
          <w:sz w:val="36"/>
          <w:szCs w:val="36"/>
        </w:rPr>
        <w:t xml:space="preserve">Metastatic Bladder Cancer Before and After</w:t>
      </w:r>
    </w:p>
    <w:p>
      <w:pPr>
        <w:spacing w:after="300" w:before="0"/>
        <w:jc w:val="center"/>
      </w:pPr>
      <w:r>
        <w:rPr>
          <w:rFonts w:ascii="Arial" w:cs="Arial" w:eastAsia="Arial" w:hAnsi="Arial"/>
          <w:b/>
          <w:bCs/>
          <w:color w:val="1F4E79"/>
          <w:sz w:val="36"/>
          <w:szCs w:val="36"/>
        </w:rPr>
        <w:t xml:space="preserve">Immune Checkpoint Inhibitor Availability</w:t>
      </w:r>
    </w:p>
    <w:p>
      <w:pPr>
        <w:spacing w:after="120" w:before="0"/>
        <w:jc w:val="center"/>
      </w:pPr>
      <w:r>
        <w:rPr>
          <w:rFonts w:ascii="Arial" w:cs="Arial" w:eastAsia="Arial" w:hAnsi="Arial"/>
          <w:color w:val="444444"/>
          <w:sz w:val="26"/>
          <w:szCs w:val="26"/>
        </w:rPr>
        <w:t xml:space="preserve">A SEER Population-Based Analysis of Racial, Socioeconomic,</w:t>
      </w:r>
    </w:p>
    <w:p>
      <w:pPr>
        <w:spacing w:after="400" w:before="0"/>
        <w:jc w:val="center"/>
      </w:pPr>
      <w:r>
        <w:rPr>
          <w:rFonts w:ascii="Arial" w:cs="Arial" w:eastAsia="Arial" w:hAnsi="Arial"/>
          <w:color w:val="444444"/>
          <w:sz w:val="26"/>
          <w:szCs w:val="26"/>
        </w:rPr>
        <w:t xml:space="preserve">and Geographic Disparities, 2004–2021</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Protocol version</w:t>
            </w:r>
          </w:p>
        </w:tc>
        <w:tc>
          <w:tcPr>
            <w:tcW w:type="dxa" w:w="69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June 4, 2026</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Data source</w:t>
            </w:r>
          </w:p>
        </w:tc>
        <w:tc>
          <w:tcPr>
            <w:tcW w:type="dxa" w:w="69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20"/>
                <w:szCs w:val="20"/>
              </w:rPr>
              <w:t xml:space="preserve">SEER Research Data, 17 Registries, 2004–2021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Study design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Retrospective population-based cohort study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Primary outcome</w:t>
            </w:r>
          </w:p>
        </w:tc>
        <w:tc>
          <w:tcPr>
            <w:tcW w:type="dxa" w:w="69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20"/>
                <w:szCs w:val="20"/>
              </w:rPr>
              <w:t xml:space="preserve">Overall survival and cancer-specific survival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20"/>
                <w:szCs w:val="20"/>
              </w:rPr>
              <w:t xml:space="preserve">Target journal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in Health (primary); Cancer Medicine (secondary)</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IRB status</w:t>
            </w:r>
          </w:p>
        </w:tc>
        <w:tc>
          <w:tcPr>
            <w:tcW w:type="dxa" w:w="6960"/>
            <w:tcBorders>
              <w:top w:val="single" w:color="CCCCCC" w:sz="1"/>
              <w:left w:val="single" w:color="CCCCCC" w:sz="1"/>
              <w:bottom w:val="single" w:color="CCCCCC" w:sz="1"/>
              <w:right w:val="single" w:color="CCCCCC" w:sz="1"/>
            </w:tcBorders>
            <w:shd w:fill="FAFCFF" w:val="clear"/>
            <w:tcMar>
              <w:top w:type="dxa" w:w="80"/>
              <w:left w:type="dxa" w:w="120"/>
              <w:bottom w:type="dxa" w:w="80"/>
              <w:right w:type="dxa" w:w="120"/>
            </w:tcMar>
          </w:tcPr>
          <w:p>
            <w:r>
              <w:rPr>
                <w:rFonts w:ascii="Arial" w:cs="Arial" w:eastAsia="Arial" w:hAnsi="Arial"/>
                <w:sz w:val="20"/>
                <w:szCs w:val="20"/>
              </w:rPr>
              <w:t xml:space="preserve">Exempt — public de-identified data, no patient contact</w:t>
            </w:r>
          </w:p>
        </w:tc>
      </w:tr>
    </w:tbl>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1. Background and Rationale</w:t>
      </w:r>
    </w:p>
    <w:p>
      <w:pPr>
        <w:spacing w:after="60" w:before="60"/>
      </w:pPr>
      <w:r>
        <w:rPr>
          <w:rFonts w:ascii="Arial" w:cs="Arial" w:eastAsia="Arial" w:hAnsi="Arial"/>
          <w:sz w:val="22"/>
          <w:szCs w:val="22"/>
        </w:rPr>
        <w:t xml:space="preserve">Bladder cancer is the sixth most common cancer in the United States, with an estimated 83,190 new cases and 16,840 deaths projected in 2024. Urothelial carcinoma (UC) accounts for approximately 90% of all bladder cancer cases. While most cases present as non-muscle-invasive disease (NMIBC), approximately 25% of patients have muscle-invasive bladder cancer (MIBC) at diagnosis, carrying a markedly worse prognosis with a 5-year survival rate below 50% for stage III disease and below 15% for stage IV.</w:t>
      </w:r>
    </w:p>
    <w:p>
      <w:pPr>
        <w:spacing w:after="0" w:before="0"/>
      </w:pPr>
      <w:r>
        <w:t xml:space="preserve"/>
      </w:r>
    </w:p>
    <w:p>
      <w:pPr>
        <w:spacing w:after="60" w:before="60"/>
      </w:pPr>
      <w:r>
        <w:rPr>
          <w:rFonts w:ascii="Arial" w:cs="Arial" w:eastAsia="Arial" w:hAnsi="Arial"/>
          <w:sz w:val="22"/>
          <w:szCs w:val="22"/>
        </w:rPr>
        <w:t xml:space="preserve">The treatment landscape for advanced bladder cancer underwent a paradigm shift between 2016 and 2017 with the approval of the first immune checkpoint inhibitors (ICIs) — atezolizumab and pembrolizumab — for cisplatin-ineligible patients. This approval represented the first new systemic treatment option in over three decades. Subsequently, the 2023 approval of enfortumab vedotin plus pembrolizumab (EV+pembro) based on the EV-302 trial established a new first-line standard with a 53% reduction in risk of death vs. platinum-based chemotherapy.</w:t>
      </w:r>
    </w:p>
    <w:p>
      <w:pPr>
        <w:spacing w:after="0" w:before="0"/>
      </w:pPr>
      <w:r>
        <w:t xml:space="preserve"/>
      </w:r>
    </w:p>
    <w:p>
      <w:pPr>
        <w:spacing w:after="60" w:before="60"/>
      </w:pPr>
      <w:r>
        <w:rPr>
          <w:rFonts w:ascii="Arial" w:cs="Arial" w:eastAsia="Arial" w:hAnsi="Arial"/>
          <w:sz w:val="22"/>
          <w:szCs w:val="22"/>
        </w:rPr>
        <w:t xml:space="preserve">Despite these clinical advances, significant evidence gaps remain at the population level. Published studies using the National Cancer Database (NCDB) have documented disparities in ICI access by race and socioeconomic status, but none have examined the longitudinal trend in surgical treatment utilization and survival across the full 2004–2021 period using an interrupted time series framework anchored to the ICI approval date. Furthermore, the proportion of patients receiving no treatment — a critical market access evidence need — has not been characterized across demographic subgroups in this era.</w:t>
      </w:r>
    </w:p>
    <w:p>
      <w:pPr>
        <w:spacing w:after="0" w:before="0"/>
      </w:pPr>
      <w:r>
        <w:t xml:space="preserve"/>
      </w:r>
    </w:p>
    <w:p>
      <w:pPr>
        <w:spacing w:after="60" w:before="60"/>
      </w:pPr>
      <w:r>
        <w:rPr>
          <w:rFonts w:ascii="Arial" w:cs="Arial" w:eastAsia="Arial" w:hAnsi="Arial"/>
          <w:sz w:val="22"/>
          <w:szCs w:val="22"/>
        </w:rPr>
        <w:t xml:space="preserve">This study addresses these gaps by analyzing population-level trends in stage at diagnosis, treatment utilization (surgery and radiation), time to treatment initiation, and survival outcomes before and after ICI availability, with a focus on racial, socioeconomic, and geographic disparities.</w:t>
      </w:r>
    </w:p>
    <w:p>
      <w:pPr>
        <w:spacing w:after="0" w:before="0"/>
      </w:pPr>
      <w:r>
        <w:t xml:space="preserve"/>
      </w:r>
    </w:p>
    <w:p>
      <w:pPr>
        <w:pStyle w:val="Heading2"/>
        <w:spacing w:after="80" w:before="240"/>
      </w:pPr>
      <w:r>
        <w:rPr>
          <w:rFonts w:ascii="Arial" w:cs="Arial" w:eastAsia="Arial" w:hAnsi="Arial"/>
          <w:b/>
          <w:bCs/>
          <w:color w:val="2E75B6"/>
          <w:sz w:val="24"/>
          <w:szCs w:val="24"/>
        </w:rPr>
        <w:t xml:space="preserve">1.1 Research Questions</w:t>
      </w:r>
    </w:p>
    <w:p>
      <w:pPr>
        <w:pStyle w:val="ListParagraph"/>
        <w:numPr>
          <w:ilvl w:val="0"/>
          <w:numId w:val="2"/>
        </w:numPr>
        <w:spacing w:after="40" w:before="40"/>
      </w:pPr>
      <w:r>
        <w:rPr>
          <w:rFonts w:ascii="Arial" w:cs="Arial" w:eastAsia="Arial" w:hAnsi="Arial"/>
          <w:sz w:val="22"/>
          <w:szCs w:val="22"/>
        </w:rPr>
        <w:t xml:space="preserve">What proportion of patients with MIBC and metastatic bladder cancer received no cancer-directed treatment, and how did this vary by race, rurality, income, and age before vs. after ICI approval (2016–2017)?</w:t>
      </w:r>
    </w:p>
    <w:p>
      <w:pPr>
        <w:pStyle w:val="ListParagraph"/>
        <w:numPr>
          <w:ilvl w:val="0"/>
          <w:numId w:val="2"/>
        </w:numPr>
        <w:spacing w:after="40" w:before="40"/>
      </w:pPr>
      <w:r>
        <w:rPr>
          <w:rFonts w:ascii="Arial" w:cs="Arial" w:eastAsia="Arial" w:hAnsi="Arial"/>
          <w:sz w:val="22"/>
          <w:szCs w:val="22"/>
        </w:rPr>
        <w:t xml:space="preserve">How did first-line surgical and radiation treatment receipt shift following ICI availability, and which patient subgroups were systematically excluded from the treatment benefit?</w:t>
      </w:r>
    </w:p>
    <w:p>
      <w:pPr>
        <w:pStyle w:val="ListParagraph"/>
        <w:numPr>
          <w:ilvl w:val="0"/>
          <w:numId w:val="2"/>
        </w:numPr>
        <w:spacing w:after="40" w:before="40"/>
      </w:pPr>
      <w:r>
        <w:rPr>
          <w:rFonts w:ascii="Arial" w:cs="Arial" w:eastAsia="Arial" w:hAnsi="Arial"/>
          <w:sz w:val="22"/>
          <w:szCs w:val="22"/>
        </w:rPr>
        <w:t xml:space="preserve">What is the median time from diagnosis to first treatment initiation by stage, race, and county-level rurality, and did this change in the ICI era?</w:t>
      </w:r>
    </w:p>
    <w:p>
      <w:pPr>
        <w:pStyle w:val="ListParagraph"/>
        <w:numPr>
          <w:ilvl w:val="0"/>
          <w:numId w:val="2"/>
        </w:numPr>
        <w:spacing w:after="40" w:before="40"/>
      </w:pPr>
      <w:r>
        <w:rPr>
          <w:rFonts w:ascii="Arial" w:cs="Arial" w:eastAsia="Arial" w:hAnsi="Arial"/>
          <w:sz w:val="22"/>
          <w:szCs w:val="22"/>
        </w:rPr>
        <w:t xml:space="preserve">What are 1-, 3-, and 5-year overall survival (OS) and cancer-specific survival (CSS) trends by treatment received, stage, and demographic subgroup before vs. after ICI availability?</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2. Study Design</w:t>
      </w:r>
    </w:p>
    <w:p>
      <w:pPr>
        <w:spacing w:after="60" w:before="60"/>
      </w:pPr>
      <w:r>
        <w:rPr>
          <w:rFonts w:ascii="Arial" w:cs="Arial" w:eastAsia="Arial" w:hAnsi="Arial"/>
          <w:sz w:val="22"/>
          <w:szCs w:val="22"/>
        </w:rPr>
        <w:t xml:space="preserve">This is a retrospective, population-based cohort study using publicly available data from the National Cancer Institute’s Surveillance, Epidemiology, and End Results (SEER) Program. The study follows the REporting of studies Conducted using Observational Routinely collected Data (RECORD) statement and the Strengthening the Reporting of Observational Studies in Epidemiology (STROBE) guidelines.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Design element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Study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Retrospective population-based cohort study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source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SEER Research Data, 17 Registries, Nov 2023 Submission (2000–2021)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Study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January 1, 2004 – December 31, 2021 (treatment variables available from 2004)</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Index date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 of incident bladder cancer diagnosis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Pre-ICI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January 2004 – December 2015</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Post-ICI period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January 2017 – December 2021 (2016 excluded as transition year)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Follow-up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diagnosis to death, last contact, or December 31, 2021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Unit of analysis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Individual patient (one record per incident case)</w:t>
            </w:r>
          </w:p>
        </w:tc>
      </w:tr>
    </w:tbl>
    <w:p>
      <w:pPr>
        <w:spacing w:after="0" w:before="0"/>
      </w:pPr>
      <w:r>
        <w:t xml:space="preserve"/>
      </w:r>
    </w:p>
    <w:p>
      <w:pPr>
        <w:spacing w:after="0" w:before="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3. Data Source</w:t>
      </w:r>
    </w:p>
    <w:p>
      <w:pPr>
        <w:spacing w:after="60" w:before="60"/>
      </w:pPr>
      <w:r>
        <w:rPr>
          <w:rFonts w:ascii="Arial" w:cs="Arial" w:eastAsia="Arial" w:hAnsi="Arial"/>
          <w:sz w:val="22"/>
          <w:szCs w:val="22"/>
        </w:rPr>
        <w:t xml:space="preserve">Data will be obtained from the SEER*Stat software (version 8.4.3), freely available at seer.cancer.gov. The SEER 17 Registries database covers approximately 27.8% of the US population and includes cancer incidence, patient demographics, tumor characteristics, first-course treatment, and survival data.</w:t>
      </w:r>
    </w:p>
    <w:p>
      <w:pPr>
        <w:spacing w:after="0" w:before="0"/>
      </w:pPr>
      <w:r>
        <w:t xml:space="preserve"/>
      </w:r>
    </w:p>
    <w:p>
      <w:pPr>
        <w:pStyle w:val="Heading2"/>
        <w:spacing w:after="80" w:before="240"/>
      </w:pPr>
      <w:r>
        <w:rPr>
          <w:rFonts w:ascii="Arial" w:cs="Arial" w:eastAsia="Arial" w:hAnsi="Arial"/>
          <w:b/>
          <w:bCs/>
          <w:color w:val="2E75B6"/>
          <w:sz w:val="24"/>
          <w:szCs w:val="24"/>
        </w:rPr>
        <w:t xml:space="preserve">3.1 SEER Registration and Download Steps</w:t>
      </w:r>
    </w:p>
    <w:p>
      <w:pPr>
        <w:pStyle w:val="ListParagraph"/>
        <w:numPr>
          <w:ilvl w:val="0"/>
          <w:numId w:val="2"/>
        </w:numPr>
        <w:spacing w:after="40" w:before="40"/>
      </w:pPr>
      <w:r>
        <w:rPr>
          <w:rFonts w:ascii="Arial" w:cs="Arial" w:eastAsia="Arial" w:hAnsi="Arial"/>
          <w:sz w:val="22"/>
          <w:szCs w:val="22"/>
        </w:rPr>
        <w:t xml:space="preserve">Navigate to seer.cancer.gov/data and click “Request SEER Data”</w:t>
      </w:r>
    </w:p>
    <w:p>
      <w:pPr>
        <w:pStyle w:val="ListParagraph"/>
        <w:numPr>
          <w:ilvl w:val="0"/>
          <w:numId w:val="2"/>
        </w:numPr>
        <w:spacing w:after="40" w:before="40"/>
      </w:pPr>
      <w:r>
        <w:rPr>
          <w:rFonts w:ascii="Arial" w:cs="Arial" w:eastAsia="Arial" w:hAnsi="Arial"/>
          <w:sz w:val="22"/>
          <w:szCs w:val="22"/>
        </w:rPr>
        <w:t xml:space="preserve">Complete the online registration form with your name, email, intended use description, and agreement to data use terms — no institutional affiliation required</w:t>
      </w:r>
    </w:p>
    <w:p>
      <w:pPr>
        <w:pStyle w:val="ListParagraph"/>
        <w:numPr>
          <w:ilvl w:val="0"/>
          <w:numId w:val="2"/>
        </w:numPr>
        <w:spacing w:after="40" w:before="40"/>
      </w:pPr>
      <w:r>
        <w:rPr>
          <w:rFonts w:ascii="Arial" w:cs="Arial" w:eastAsia="Arial" w:hAnsi="Arial"/>
          <w:sz w:val="22"/>
          <w:szCs w:val="22"/>
        </w:rPr>
        <w:t xml:space="preserve">Receive access credentials via email (typically within 24–48 hours)</w:t>
      </w:r>
    </w:p>
    <w:p>
      <w:pPr>
        <w:pStyle w:val="ListParagraph"/>
        <w:numPr>
          <w:ilvl w:val="0"/>
          <w:numId w:val="2"/>
        </w:numPr>
        <w:spacing w:after="40" w:before="40"/>
      </w:pPr>
      <w:r>
        <w:rPr>
          <w:rFonts w:ascii="Arial" w:cs="Arial" w:eastAsia="Arial" w:hAnsi="Arial"/>
          <w:sz w:val="22"/>
          <w:szCs w:val="22"/>
        </w:rPr>
        <w:t xml:space="preserve">Download and install SEER*Stat software from seer.cancer.gov/seerstat</w:t>
      </w:r>
    </w:p>
    <w:p>
      <w:pPr>
        <w:pStyle w:val="ListParagraph"/>
        <w:numPr>
          <w:ilvl w:val="0"/>
          <w:numId w:val="2"/>
        </w:numPr>
        <w:spacing w:after="40" w:before="40"/>
      </w:pPr>
      <w:r>
        <w:rPr>
          <w:rFonts w:ascii="Arial" w:cs="Arial" w:eastAsia="Arial" w:hAnsi="Arial"/>
          <w:sz w:val="22"/>
          <w:szCs w:val="22"/>
        </w:rPr>
        <w:t xml:space="preserve">In SEER*Stat, connect to the SEER Research Data server using your credentials</w:t>
      </w:r>
    </w:p>
    <w:p>
      <w:pPr>
        <w:pStyle w:val="ListParagraph"/>
        <w:numPr>
          <w:ilvl w:val="0"/>
          <w:numId w:val="2"/>
        </w:numPr>
        <w:spacing w:after="40" w:before="40"/>
      </w:pPr>
      <w:r>
        <w:rPr>
          <w:rFonts w:ascii="Arial" w:cs="Arial" w:eastAsia="Arial" w:hAnsi="Arial"/>
          <w:sz w:val="22"/>
          <w:szCs w:val="22"/>
        </w:rPr>
        <w:t xml:space="preserve">Select database: “Incidence – SEER Research Data, 17 Registries, Nov 2023 Sub (2000–2021)”</w:t>
      </w:r>
    </w:p>
    <w:p>
      <w:pPr>
        <w:pStyle w:val="ListParagraph"/>
        <w:numPr>
          <w:ilvl w:val="0"/>
          <w:numId w:val="2"/>
        </w:numPr>
        <w:spacing w:after="40" w:before="40"/>
      </w:pPr>
      <w:r>
        <w:rPr>
          <w:rFonts w:ascii="Arial" w:cs="Arial" w:eastAsia="Arial" w:hAnsi="Arial"/>
          <w:sz w:val="22"/>
          <w:szCs w:val="22"/>
        </w:rPr>
        <w:t xml:space="preserve">Export case listing with all required variables (see Section 5.1) as a CSV file</w:t>
      </w:r>
    </w:p>
    <w:p>
      <w:pPr>
        <w:spacing w:after="0" w:before="0"/>
      </w:pPr>
      <w:r>
        <w:t xml:space="preserve"/>
      </w:r>
    </w:p>
    <w:p>
      <w:pPr>
        <w:pStyle w:val="Heading2"/>
        <w:spacing w:after="80" w:before="240"/>
      </w:pPr>
      <w:r>
        <w:rPr>
          <w:rFonts w:ascii="Arial" w:cs="Arial" w:eastAsia="Arial" w:hAnsi="Arial"/>
          <w:b/>
          <w:bCs/>
          <w:color w:val="2E75B6"/>
          <w:sz w:val="24"/>
          <w:szCs w:val="24"/>
        </w:rPr>
        <w:t xml:space="preserve">3.2 Key SEER Variables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SEER field name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De-identified unique identifier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Year of diagnosis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Year of diagnosis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2004–2021 for this study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at diagnosis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at diagnosis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 group into &lt;55, 55–64, 65–74, 75+</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Sex</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Sex</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Male / Female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Race/ethnicity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Race/ethnicity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 Black, Hispanic, Asian/PI, AI/AN, Other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Marital status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Marital status at diagnosis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Married, single, divorced, widowed, unknown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SEER registry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SEER registry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Maps to geographic region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County rural-urban code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Rural-Urban Continuum Code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RUCC 1–3 = metro, 4–6 = urban, 7–9 = rural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County median household income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Median household income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Census-linked; quartile or tertile grouping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site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site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C67.x bladder codes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Histology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ICD-O-3 histology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Urothelial/transitional cell = 8120–8130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Grade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Grade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Well, moderately, poorly, undifferentiated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 AJCC stage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 AJCC Stage Group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II, III, IV</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SEER summary stage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SEER Summary Stage 2000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Localized, regional, distant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Surgery received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RX Summ–Surgery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 and receipt of surgery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Radiation received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RX Summ–Radiation</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Yes/No/Unknown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Survival months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Survival months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 diagnosis to death or last contact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Vital status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Vital status recode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Alive / Dead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Cause of death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SEER cause-specific death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Bladder cancer vs. other cause</w:t>
            </w:r>
          </w:p>
        </w:tc>
      </w:tr>
    </w:tbl>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4. Study Population</w:t>
      </w:r>
    </w:p>
    <w:p>
      <w:pPr>
        <w:pStyle w:val="Heading2"/>
        <w:spacing w:after="80" w:before="240"/>
      </w:pPr>
      <w:r>
        <w:rPr>
          <w:rFonts w:ascii="Arial" w:cs="Arial" w:eastAsia="Arial" w:hAnsi="Arial"/>
          <w:b/>
          <w:bCs/>
          <w:color w:val="2E75B6"/>
          <w:sz w:val="24"/>
          <w:szCs w:val="24"/>
        </w:rPr>
        <w:t xml:space="preserve">4.1 Inclusion Criteria</w:t>
      </w:r>
    </w:p>
    <w:p>
      <w:pPr>
        <w:pStyle w:val="ListParagraph"/>
        <w:numPr>
          <w:ilvl w:val="0"/>
          <w:numId w:val="3"/>
        </w:numPr>
        <w:spacing w:after="40" w:before="40"/>
      </w:pPr>
      <w:r>
        <w:rPr>
          <w:rFonts w:ascii="Arial" w:cs="Arial" w:eastAsia="Arial" w:hAnsi="Arial"/>
          <w:sz w:val="22"/>
          <w:szCs w:val="22"/>
        </w:rPr>
        <w:t xml:space="preserve">Incident diagnosis of bladder cancer (primary site C67.0–C67.9) between January 1, 2004 and December 31, 2021</w:t>
      </w:r>
    </w:p>
    <w:p>
      <w:pPr>
        <w:pStyle w:val="ListParagraph"/>
        <w:numPr>
          <w:ilvl w:val="0"/>
          <w:numId w:val="3"/>
        </w:numPr>
        <w:spacing w:after="40" w:before="40"/>
      </w:pPr>
      <w:r>
        <w:rPr>
          <w:rFonts w:ascii="Arial" w:cs="Arial" w:eastAsia="Arial" w:hAnsi="Arial"/>
          <w:sz w:val="22"/>
          <w:szCs w:val="22"/>
        </w:rPr>
        <w:t xml:space="preserve">Histologically confirmed urothelial (transitional cell) carcinoma (ICD-O-3 histology codes 8120–8130)</w:t>
      </w:r>
    </w:p>
    <w:p>
      <w:pPr>
        <w:pStyle w:val="ListParagraph"/>
        <w:numPr>
          <w:ilvl w:val="0"/>
          <w:numId w:val="3"/>
        </w:numPr>
        <w:spacing w:after="40" w:before="40"/>
      </w:pPr>
      <w:r>
        <w:rPr>
          <w:rFonts w:ascii="Arial" w:cs="Arial" w:eastAsia="Arial" w:hAnsi="Arial"/>
          <w:sz w:val="22"/>
          <w:szCs w:val="22"/>
        </w:rPr>
        <w:t xml:space="preserve">Muscle-invasive disease (AJCC stage II–IV) OR SEER summary stage regional or distant</w:t>
      </w:r>
    </w:p>
    <w:p>
      <w:pPr>
        <w:pStyle w:val="ListParagraph"/>
        <w:numPr>
          <w:ilvl w:val="0"/>
          <w:numId w:val="3"/>
        </w:numPr>
        <w:spacing w:after="40" w:before="40"/>
      </w:pPr>
      <w:r>
        <w:rPr>
          <w:rFonts w:ascii="Arial" w:cs="Arial" w:eastAsia="Arial" w:hAnsi="Arial"/>
          <w:sz w:val="22"/>
          <w:szCs w:val="22"/>
        </w:rPr>
        <w:t xml:space="preserve">Age 18 years or older at diagnosis</w:t>
      </w:r>
    </w:p>
    <w:p>
      <w:pPr>
        <w:pStyle w:val="ListParagraph"/>
        <w:numPr>
          <w:ilvl w:val="0"/>
          <w:numId w:val="3"/>
        </w:numPr>
        <w:spacing w:after="40" w:before="40"/>
      </w:pPr>
      <w:r>
        <w:rPr>
          <w:rFonts w:ascii="Arial" w:cs="Arial" w:eastAsia="Arial" w:hAnsi="Arial"/>
          <w:sz w:val="22"/>
          <w:szCs w:val="22"/>
        </w:rPr>
        <w:t xml:space="preserve">Known race/ethnicity</w:t>
      </w:r>
    </w:p>
    <w:p>
      <w:pPr>
        <w:pStyle w:val="ListParagraph"/>
        <w:numPr>
          <w:ilvl w:val="0"/>
          <w:numId w:val="3"/>
        </w:numPr>
        <w:spacing w:after="40" w:before="40"/>
      </w:pPr>
      <w:r>
        <w:rPr>
          <w:rFonts w:ascii="Arial" w:cs="Arial" w:eastAsia="Arial" w:hAnsi="Arial"/>
          <w:sz w:val="22"/>
          <w:szCs w:val="22"/>
        </w:rPr>
        <w:t xml:space="preserve">Active follow-up (not discovered at autopsy or death certificate only)</w:t>
      </w:r>
    </w:p>
    <w:p>
      <w:pPr>
        <w:spacing w:after="0" w:before="0"/>
      </w:pPr>
      <w:r>
        <w:t xml:space="preserve"/>
      </w:r>
    </w:p>
    <w:p>
      <w:pPr>
        <w:pStyle w:val="Heading2"/>
        <w:spacing w:after="80" w:before="240"/>
      </w:pPr>
      <w:r>
        <w:rPr>
          <w:rFonts w:ascii="Arial" w:cs="Arial" w:eastAsia="Arial" w:hAnsi="Arial"/>
          <w:b/>
          <w:bCs/>
          <w:color w:val="2E75B6"/>
          <w:sz w:val="24"/>
          <w:szCs w:val="24"/>
        </w:rPr>
        <w:t xml:space="preserve">4.2 Exclusion Criteria</w:t>
      </w:r>
    </w:p>
    <w:p>
      <w:pPr>
        <w:pStyle w:val="ListParagraph"/>
        <w:numPr>
          <w:ilvl w:val="0"/>
          <w:numId w:val="3"/>
        </w:numPr>
        <w:spacing w:after="40" w:before="40"/>
      </w:pPr>
      <w:r>
        <w:rPr>
          <w:rFonts w:ascii="Arial" w:cs="Arial" w:eastAsia="Arial" w:hAnsi="Arial"/>
          <w:sz w:val="22"/>
          <w:szCs w:val="22"/>
        </w:rPr>
        <w:t xml:space="preserve">Non-urothelial histology (squamous cell carcinoma, adenocarcinoma, small cell — analyzed as sensitivity subgroup)</w:t>
      </w:r>
    </w:p>
    <w:p>
      <w:pPr>
        <w:pStyle w:val="ListParagraph"/>
        <w:numPr>
          <w:ilvl w:val="0"/>
          <w:numId w:val="3"/>
        </w:numPr>
        <w:spacing w:after="40" w:before="40"/>
      </w:pPr>
      <w:r>
        <w:rPr>
          <w:rFonts w:ascii="Arial" w:cs="Arial" w:eastAsia="Arial" w:hAnsi="Arial"/>
          <w:sz w:val="22"/>
          <w:szCs w:val="22"/>
        </w:rPr>
        <w:t xml:space="preserve">Stage I / non-muscle-invasive disease (AJCC stage I or SEER localized — separate sensitivity analysis)</w:t>
      </w:r>
    </w:p>
    <w:p>
      <w:pPr>
        <w:pStyle w:val="ListParagraph"/>
        <w:numPr>
          <w:ilvl w:val="0"/>
          <w:numId w:val="3"/>
        </w:numPr>
        <w:spacing w:after="40" w:before="40"/>
      </w:pPr>
      <w:r>
        <w:rPr>
          <w:rFonts w:ascii="Arial" w:cs="Arial" w:eastAsia="Arial" w:hAnsi="Arial"/>
          <w:sz w:val="22"/>
          <w:szCs w:val="22"/>
        </w:rPr>
        <w:t xml:space="preserve">Unknown stage at diagnosis</w:t>
      </w:r>
    </w:p>
    <w:p>
      <w:pPr>
        <w:pStyle w:val="ListParagraph"/>
        <w:numPr>
          <w:ilvl w:val="0"/>
          <w:numId w:val="3"/>
        </w:numPr>
        <w:spacing w:after="40" w:before="40"/>
      </w:pPr>
      <w:r>
        <w:rPr>
          <w:rFonts w:ascii="Arial" w:cs="Arial" w:eastAsia="Arial" w:hAnsi="Arial"/>
          <w:sz w:val="22"/>
          <w:szCs w:val="22"/>
        </w:rPr>
        <w:t xml:space="preserve">Diagnosis year 2000–2003 (treatment variables unavailable)</w:t>
      </w:r>
    </w:p>
    <w:p>
      <w:pPr>
        <w:pStyle w:val="ListParagraph"/>
        <w:numPr>
          <w:ilvl w:val="0"/>
          <w:numId w:val="3"/>
        </w:numPr>
        <w:spacing w:after="40" w:before="40"/>
      </w:pPr>
      <w:r>
        <w:rPr>
          <w:rFonts w:ascii="Arial" w:cs="Arial" w:eastAsia="Arial" w:hAnsi="Arial"/>
          <w:sz w:val="22"/>
          <w:szCs w:val="22"/>
        </w:rPr>
        <w:t xml:space="preserve">Survival time of 0 months (same-month death — sensitivity analysis includes these)</w:t>
      </w:r>
    </w:p>
    <w:p>
      <w:pPr>
        <w:spacing w:after="0" w:before="0"/>
      </w:pPr>
      <w:r>
        <w:t xml:space="preserve"/>
      </w:r>
    </w:p>
    <w:p>
      <w:pPr>
        <w:pStyle w:val="Heading2"/>
        <w:spacing w:after="80" w:before="240"/>
      </w:pPr>
      <w:r>
        <w:rPr>
          <w:rFonts w:ascii="Arial" w:cs="Arial" w:eastAsia="Arial" w:hAnsi="Arial"/>
          <w:b/>
          <w:bCs/>
          <w:color w:val="2E75B6"/>
          <w:sz w:val="24"/>
          <w:szCs w:val="24"/>
        </w:rPr>
        <w:t xml:space="preserve">4.3 Cohort Definition Diagram</w:t>
      </w:r>
    </w:p>
    <w:p>
      <w:pPr>
        <w:spacing w:after="60" w:before="60"/>
      </w:pPr>
      <w:r>
        <w:rPr>
          <w:rFonts w:ascii="Arial" w:cs="Arial" w:eastAsia="Arial" w:hAnsi="Arial"/>
          <w:b/>
          <w:bCs/>
          <w:sz w:val="22"/>
          <w:szCs w:val="22"/>
        </w:rPr>
        <w:t xml:space="preserve">SEER all bladder cancer cases 2004–2021</w:t>
      </w:r>
    </w:p>
    <w:p>
      <w:pPr>
        <w:spacing w:after="60" w:before="60"/>
      </w:pPr>
      <w:r>
        <w:rPr>
          <w:rFonts w:ascii="Arial" w:cs="Arial" w:eastAsia="Arial" w:hAnsi="Arial"/>
          <w:sz w:val="22"/>
          <w:szCs w:val="22"/>
        </w:rPr>
        <w:t xml:space="preserve">↓ Restrict to urothelial histology (8120–8130)</w:t>
      </w:r>
    </w:p>
    <w:p>
      <w:pPr>
        <w:spacing w:after="60" w:before="60"/>
      </w:pPr>
      <w:r>
        <w:rPr>
          <w:rFonts w:ascii="Arial" w:cs="Arial" w:eastAsia="Arial" w:hAnsi="Arial"/>
          <w:sz w:val="22"/>
          <w:szCs w:val="22"/>
        </w:rPr>
        <w:t xml:space="preserve">↓ Restrict to MIBC/metastatic (AJCC stage II–IV or SEER regional/distant)</w:t>
      </w:r>
    </w:p>
    <w:p>
      <w:pPr>
        <w:spacing w:after="60" w:before="60"/>
      </w:pPr>
      <w:r>
        <w:rPr>
          <w:rFonts w:ascii="Arial" w:cs="Arial" w:eastAsia="Arial" w:hAnsi="Arial"/>
          <w:sz w:val="22"/>
          <w:szCs w:val="22"/>
        </w:rPr>
        <w:t xml:space="preserve">↓ Exclude unknown stage, age &lt;18, autopsy/DCO cases</w:t>
      </w:r>
    </w:p>
    <w:p>
      <w:pPr>
        <w:spacing w:after="60" w:before="60"/>
      </w:pPr>
      <w:r>
        <w:rPr>
          <w:rFonts w:ascii="Arial" w:cs="Arial" w:eastAsia="Arial" w:hAnsi="Arial"/>
          <w:sz w:val="22"/>
          <w:szCs w:val="22"/>
        </w:rPr>
        <w:t xml:space="preserve">↓ Final analytic cohort (estimated N = 40,000–60,000 cases)</w:t>
      </w:r>
    </w:p>
    <w:p>
      <w:pPr>
        <w:spacing w:after="60" w:before="60"/>
      </w:pPr>
      <w:r>
        <w:rPr>
          <w:rFonts w:ascii="Arial" w:cs="Arial" w:eastAsia="Arial" w:hAnsi="Arial"/>
          <w:i/>
          <w:iCs/>
          <w:sz w:val="22"/>
          <w:szCs w:val="22"/>
        </w:rPr>
        <w:t xml:space="preserve">Split into: Pre-ICI cohort (2004–2015) | Transition year (2016, excluded) | Post-ICI cohort (2017–2021)</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5. Variable Definitions</w:t>
      </w:r>
    </w:p>
    <w:p>
      <w:pPr>
        <w:pStyle w:val="Heading2"/>
        <w:spacing w:after="80" w:before="240"/>
      </w:pPr>
      <w:r>
        <w:rPr>
          <w:rFonts w:ascii="Arial" w:cs="Arial" w:eastAsia="Arial" w:hAnsi="Arial"/>
          <w:b/>
          <w:bCs/>
          <w:color w:val="2E75B6"/>
          <w:sz w:val="24"/>
          <w:szCs w:val="24"/>
        </w:rPr>
        <w:t xml:space="preserve">5.1 Primary Outcomes</w:t>
      </w:r>
    </w:p>
    <w:p>
      <w:pPr>
        <w:spacing w:after="60" w:before="160"/>
      </w:pPr>
      <w:r>
        <w:rPr>
          <w:rFonts w:ascii="Arial" w:cs="Arial" w:eastAsia="Arial" w:hAnsi="Arial"/>
          <w:b/>
          <w:bCs/>
          <w:color w:val="404040"/>
          <w:sz w:val="22"/>
          <w:szCs w:val="22"/>
        </w:rPr>
        <w:t xml:space="preserve">Overall Survival (OS)</w:t>
      </w:r>
    </w:p>
    <w:p>
      <w:pPr>
        <w:spacing w:after="60" w:before="60"/>
      </w:pPr>
      <w:r>
        <w:rPr>
          <w:rFonts w:ascii="Arial" w:cs="Arial" w:eastAsia="Arial" w:hAnsi="Arial"/>
          <w:sz w:val="22"/>
          <w:szCs w:val="22"/>
        </w:rPr>
        <w:t xml:space="preserve">Defined as time from diagnosis date to death from any cause or last known contact, whichever occurs first. Patients alive at end of follow-up (December 31, 2021) are censored. Measured in months using SEER survival time variable.</w:t>
      </w:r>
    </w:p>
    <w:p>
      <w:pPr>
        <w:spacing w:after="0" w:before="0"/>
      </w:pPr>
      <w:r>
        <w:t xml:space="preserve"/>
      </w:r>
    </w:p>
    <w:p>
      <w:pPr>
        <w:spacing w:after="60" w:before="160"/>
      </w:pPr>
      <w:r>
        <w:rPr>
          <w:rFonts w:ascii="Arial" w:cs="Arial" w:eastAsia="Arial" w:hAnsi="Arial"/>
          <w:b/>
          <w:bCs/>
          <w:color w:val="404040"/>
          <w:sz w:val="22"/>
          <w:szCs w:val="22"/>
        </w:rPr>
        <w:t xml:space="preserve">Cancer-Specific Survival (CSS)</w:t>
      </w:r>
    </w:p>
    <w:p>
      <w:pPr>
        <w:spacing w:after="60" w:before="60"/>
      </w:pPr>
      <w:r>
        <w:rPr>
          <w:rFonts w:ascii="Arial" w:cs="Arial" w:eastAsia="Arial" w:hAnsi="Arial"/>
          <w:sz w:val="22"/>
          <w:szCs w:val="22"/>
        </w:rPr>
        <w:t xml:space="preserve">Defined as time from diagnosis to death attributed to bladder cancer. Deaths from other causes are treated as competing events. Derived from SEER cause-specific death classification variable.</w:t>
      </w:r>
    </w:p>
    <w:p>
      <w:pPr>
        <w:spacing w:after="0" w:before="0"/>
      </w:pPr>
      <w:r>
        <w:t xml:space="preserve"/>
      </w:r>
    </w:p>
    <w:p>
      <w:pPr>
        <w:pStyle w:val="Heading2"/>
        <w:spacing w:after="80" w:before="240"/>
      </w:pPr>
      <w:r>
        <w:rPr>
          <w:rFonts w:ascii="Arial" w:cs="Arial" w:eastAsia="Arial" w:hAnsi="Arial"/>
          <w:b/>
          <w:bCs/>
          <w:color w:val="2E75B6"/>
          <w:sz w:val="24"/>
          <w:szCs w:val="24"/>
        </w:rPr>
        <w:t xml:space="preserve">5.2 Secondary Outcomes</w:t>
      </w:r>
    </w:p>
    <w:p>
      <w:pPr>
        <w:pStyle w:val="ListParagraph"/>
        <w:numPr>
          <w:ilvl w:val="0"/>
          <w:numId w:val="3"/>
        </w:numPr>
        <w:spacing w:after="40" w:before="40"/>
      </w:pPr>
      <w:r>
        <w:rPr>
          <w:rFonts w:ascii="Arial" w:cs="Arial" w:eastAsia="Arial" w:hAnsi="Arial"/>
          <w:sz w:val="22"/>
          <w:szCs w:val="22"/>
        </w:rPr>
        <w:t xml:space="preserve">Surgical treatment receipt: binary (yes/no) derived from RX Summ–Surgery field; type of surgery coded per SEER surgical codes for bladder (radical cystectomy, partial cystectomy, TURBT, other)</w:t>
      </w:r>
    </w:p>
    <w:p>
      <w:pPr>
        <w:pStyle w:val="ListParagraph"/>
        <w:numPr>
          <w:ilvl w:val="0"/>
          <w:numId w:val="3"/>
        </w:numPr>
        <w:spacing w:after="40" w:before="40"/>
      </w:pPr>
      <w:r>
        <w:rPr>
          <w:rFonts w:ascii="Arial" w:cs="Arial" w:eastAsia="Arial" w:hAnsi="Arial"/>
          <w:sz w:val="22"/>
          <w:szCs w:val="22"/>
        </w:rPr>
        <w:t xml:space="preserve">Radiation therapy receipt: binary (yes/no) from RX Summ–Radiation field</w:t>
      </w:r>
    </w:p>
    <w:p>
      <w:pPr>
        <w:pStyle w:val="ListParagraph"/>
        <w:numPr>
          <w:ilvl w:val="0"/>
          <w:numId w:val="3"/>
        </w:numPr>
        <w:spacing w:after="40" w:before="40"/>
      </w:pPr>
      <w:r>
        <w:rPr>
          <w:rFonts w:ascii="Arial" w:cs="Arial" w:eastAsia="Arial" w:hAnsi="Arial"/>
          <w:sz w:val="22"/>
          <w:szCs w:val="22"/>
        </w:rPr>
        <w:t xml:space="preserve">No treatment receipt: binary flag for patients receiving neither surgery nor radiation (primary market access outcome)</w:t>
      </w:r>
    </w:p>
    <w:p>
      <w:pPr>
        <w:pStyle w:val="ListParagraph"/>
        <w:numPr>
          <w:ilvl w:val="0"/>
          <w:numId w:val="3"/>
        </w:numPr>
        <w:spacing w:after="40" w:before="40"/>
      </w:pPr>
      <w:r>
        <w:rPr>
          <w:rFonts w:ascii="Arial" w:cs="Arial" w:eastAsia="Arial" w:hAnsi="Arial"/>
          <w:sz w:val="22"/>
          <w:szCs w:val="22"/>
        </w:rPr>
        <w:t xml:space="preserve">Stage at diagnosis: AJCC clinical stage group (II, III, IV) — proxy for diagnostic timeliness</w:t>
      </w:r>
    </w:p>
    <w:p>
      <w:pPr>
        <w:pStyle w:val="ListParagraph"/>
        <w:numPr>
          <w:ilvl w:val="0"/>
          <w:numId w:val="3"/>
        </w:numPr>
        <w:spacing w:after="40" w:before="40"/>
      </w:pPr>
      <w:r>
        <w:rPr>
          <w:rFonts w:ascii="Arial" w:cs="Arial" w:eastAsia="Arial" w:hAnsi="Arial"/>
          <w:sz w:val="22"/>
          <w:szCs w:val="22"/>
        </w:rPr>
        <w:t xml:space="preserve">Time to first treatment: months from diagnosis to first documented surgery or radiation; calculated from SEER date fields where available</w:t>
      </w:r>
    </w:p>
    <w:p>
      <w:pPr>
        <w:spacing w:after="0" w:before="0"/>
      </w:pPr>
      <w:r>
        <w:t xml:space="preserve"/>
      </w:r>
    </w:p>
    <w:p>
      <w:pPr>
        <w:pStyle w:val="Heading2"/>
        <w:spacing w:after="80" w:before="240"/>
      </w:pPr>
      <w:r>
        <w:rPr>
          <w:rFonts w:ascii="Arial" w:cs="Arial" w:eastAsia="Arial" w:hAnsi="Arial"/>
          <w:b/>
          <w:bCs/>
          <w:color w:val="2E75B6"/>
          <w:sz w:val="24"/>
          <w:szCs w:val="24"/>
        </w:rPr>
        <w:t xml:space="preserve">5.3 Primary Exposure</w:t>
      </w:r>
    </w:p>
    <w:p>
      <w:pPr>
        <w:spacing w:after="60" w:before="60"/>
      </w:pPr>
      <w:r>
        <w:rPr>
          <w:rFonts w:ascii="Arial" w:cs="Arial" w:eastAsia="Arial" w:hAnsi="Arial"/>
          <w:sz w:val="22"/>
          <w:szCs w:val="22"/>
        </w:rPr>
        <w:t xml:space="preserve">ICI era indicator: binary variable coded as 0 for diagnosis years 2004–2015 (pre-ICI) and 1 for diagnosis years 2017–2021 (post-ICI). Year 2016 excluded as the FDA approval transition year for atezolizumab (May 2016) and pembrolizumab (May 2017).</w:t>
      </w:r>
    </w:p>
    <w:p>
      <w:pPr>
        <w:spacing w:after="0" w:before="0"/>
      </w:pPr>
      <w:r>
        <w:t xml:space="preserve"/>
      </w:r>
    </w:p>
    <w:p>
      <w:pPr>
        <w:pStyle w:val="Heading2"/>
        <w:spacing w:after="80" w:before="240"/>
      </w:pPr>
      <w:r>
        <w:rPr>
          <w:rFonts w:ascii="Arial" w:cs="Arial" w:eastAsia="Arial" w:hAnsi="Arial"/>
          <w:b/>
          <w:bCs/>
          <w:color w:val="2E75B6"/>
          <w:sz w:val="24"/>
          <w:szCs w:val="24"/>
        </w:rPr>
        <w:t xml:space="preserve">5.4 Covariates and Subgroup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Operationalization</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at diagnosis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&lt;55, 55–64, 65–74, ≥75 years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 is strongest predictor of treatment receipt and survival in bladder cancer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Sex</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Male / Female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3:1 male predominance; sex modifies treatment and survival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Race/ethnicity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Non-Hispanic White, Non-Hispanic Black, Hispanic, Asian/PI, Other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disparity variable; prior studies show Black patients have lower survival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Rural-urban status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Metropolitan (RUCC 1–3), Urban (4–6), Rural (7–9)</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Rural-urban access to cancer care is primary novel contribution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County income quartile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Q1 (lowest) through Q4 (highest)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Socioeconomic proxy; census-linked in SEER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Marital status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Married vs. not married</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Social support predictor of treatment receipt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SEER registry region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Geographic region (Northeast, South, Midwest, West)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Controls for regional variation in care patterns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Tumor grade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 vs. high grade</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Prognostic variable; confounds treatment decisions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AJCC stage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II, III, IV</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clinical severity variable and subgroup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Diagnosis year (continuous)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2004–2021</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Used in joinpoint regression for trend analysis</w:t>
            </w:r>
          </w:p>
        </w:tc>
      </w:tr>
    </w:tbl>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6. Statistical Analysis Plan</w:t>
      </w:r>
    </w:p>
    <w:p>
      <w:pPr>
        <w:pStyle w:val="Heading2"/>
        <w:spacing w:after="80" w:before="240"/>
      </w:pPr>
      <w:r>
        <w:rPr>
          <w:rFonts w:ascii="Arial" w:cs="Arial" w:eastAsia="Arial" w:hAnsi="Arial"/>
          <w:b/>
          <w:bCs/>
          <w:color w:val="2E75B6"/>
          <w:sz w:val="24"/>
          <w:szCs w:val="24"/>
        </w:rPr>
        <w:t xml:space="preserve">6.1 Descriptive Statistics (Table 1)</w:t>
      </w:r>
    </w:p>
    <w:p>
      <w:pPr>
        <w:spacing w:after="60" w:before="60"/>
      </w:pPr>
      <w:r>
        <w:rPr>
          <w:rFonts w:ascii="Arial" w:cs="Arial" w:eastAsia="Arial" w:hAnsi="Arial"/>
          <w:sz w:val="22"/>
          <w:szCs w:val="22"/>
        </w:rPr>
        <w:t xml:space="preserve">Patient demographics, tumor characteristics, and treatment variables will be summarized overall and stratified by ICI era (pre vs. post). Continuous variables: mean (SD) and median (IQR). Categorical variables: n (%). Chi-square tests for categorical comparisons; t-tests or Wilcoxon rank-sum for continuous. Standardized mean differences (SMD) will be reported alongside p-values to assess clinical significance independent of sample size.</w:t>
      </w:r>
    </w:p>
    <w:p>
      <w:pPr>
        <w:spacing w:after="0" w:before="0"/>
      </w:pPr>
      <w:r>
        <w:t xml:space="preserve"/>
      </w:r>
    </w:p>
    <w:p>
      <w:pPr>
        <w:pStyle w:val="Heading2"/>
        <w:spacing w:after="80" w:before="240"/>
      </w:pPr>
      <w:r>
        <w:rPr>
          <w:rFonts w:ascii="Arial" w:cs="Arial" w:eastAsia="Arial" w:hAnsi="Arial"/>
          <w:b/>
          <w:bCs/>
          <w:color w:val="2E75B6"/>
          <w:sz w:val="24"/>
          <w:szCs w:val="24"/>
        </w:rPr>
        <w:t xml:space="preserve">6.2 Trend Analysis — Joinpoint Regression</w:t>
      </w:r>
    </w:p>
    <w:p>
      <w:pPr>
        <w:spacing w:after="60" w:before="60"/>
      </w:pPr>
      <w:r>
        <w:rPr>
          <w:rFonts w:ascii="Arial" w:cs="Arial" w:eastAsia="Arial" w:hAnsi="Arial"/>
          <w:sz w:val="22"/>
          <w:szCs w:val="22"/>
        </w:rPr>
        <w:t xml:space="preserve">Annual incidence-based rates of: (a) late-stage diagnosis (stage III–IV), (b) no treatment receipt, (c) surgical treatment receipt, and (d) radiation receipt will be modeled using joinpoint regression (NCI Joinpoint Regression Program, version 5.0) to identify statistically significant turning points in trends. Annual percent change (APC) and average annual percent change (AAPC) with 95% CI will be reported. Maximum of 3 joinpoints per trend; Monte Carlo permutation test for significance.</w:t>
      </w:r>
    </w:p>
    <w:p>
      <w:pPr>
        <w:spacing w:after="0" w:before="0"/>
      </w:pPr>
      <w:r>
        <w:t xml:space="preserve"/>
      </w:r>
    </w:p>
    <w:p>
      <w:pPr>
        <w:pStyle w:val="Heading2"/>
        <w:spacing w:after="80" w:before="240"/>
      </w:pPr>
      <w:r>
        <w:rPr>
          <w:rFonts w:ascii="Arial" w:cs="Arial" w:eastAsia="Arial" w:hAnsi="Arial"/>
          <w:b/>
          <w:bCs/>
          <w:color w:val="2E75B6"/>
          <w:sz w:val="24"/>
          <w:szCs w:val="24"/>
        </w:rPr>
        <w:t xml:space="preserve">6.3 Interrupted Time Series Analysis</w:t>
      </w:r>
    </w:p>
    <w:p>
      <w:pPr>
        <w:spacing w:after="60" w:before="60"/>
      </w:pPr>
      <w:r>
        <w:rPr>
          <w:rFonts w:ascii="Arial" w:cs="Arial" w:eastAsia="Arial" w:hAnsi="Arial"/>
          <w:sz w:val="22"/>
          <w:szCs w:val="22"/>
        </w:rPr>
        <w:t xml:space="preserve">To estimate the effect of ICI availability on treatment utilization and stage at diagnosis, a segmented regression interrupted time series (ITS) model will be applied using annual aggregate data. The model specification is:</w:t>
      </w:r>
    </w:p>
    <w:p>
      <w:pPr>
        <w:spacing w:after="60" w:before="60"/>
      </w:pPr>
      <w:r>
        <w:rPr>
          <w:rFonts w:ascii="Arial" w:cs="Arial" w:eastAsia="Arial" w:hAnsi="Arial"/>
          <w:i/>
          <w:iCs/>
          <w:sz w:val="22"/>
          <w:szCs w:val="22"/>
        </w:rPr>
        <w:t xml:space="preserve">Yₜ = β₀ + β₁(time) + β₂(ICI era) + β₃(time after ICI) + εₜ</w:t>
      </w:r>
    </w:p>
    <w:p>
      <w:pPr>
        <w:spacing w:after="60" w:before="60"/>
      </w:pPr>
      <w:r>
        <w:rPr>
          <w:rFonts w:ascii="Arial" w:cs="Arial" w:eastAsia="Arial" w:hAnsi="Arial"/>
          <w:sz w:val="22"/>
          <w:szCs w:val="22"/>
        </w:rPr>
        <w:t xml:space="preserve">Where Yₜ = outcome rate in year t; ICI era = 0/1 indicator for post-2016; time after ICI = years since ICI availability. β₂ estimates the immediate level change; β₃ estimates the slope change. Newey-West standard errors to correct for autocorrelation.</w:t>
      </w:r>
    </w:p>
    <w:p>
      <w:pPr>
        <w:spacing w:after="0" w:before="0"/>
      </w:pPr>
      <w:r>
        <w:t xml:space="preserve"/>
      </w:r>
    </w:p>
    <w:p>
      <w:pPr>
        <w:pStyle w:val="Heading2"/>
        <w:spacing w:after="80" w:before="240"/>
      </w:pPr>
      <w:r>
        <w:rPr>
          <w:rFonts w:ascii="Arial" w:cs="Arial" w:eastAsia="Arial" w:hAnsi="Arial"/>
          <w:b/>
          <w:bCs/>
          <w:color w:val="2E75B6"/>
          <w:sz w:val="24"/>
          <w:szCs w:val="24"/>
        </w:rPr>
        <w:t xml:space="preserve">6.4 Survival Analysis</w:t>
      </w:r>
    </w:p>
    <w:p>
      <w:pPr>
        <w:spacing w:after="60" w:before="160"/>
      </w:pPr>
      <w:r>
        <w:rPr>
          <w:rFonts w:ascii="Arial" w:cs="Arial" w:eastAsia="Arial" w:hAnsi="Arial"/>
          <w:b/>
          <w:bCs/>
          <w:color w:val="404040"/>
          <w:sz w:val="22"/>
          <w:szCs w:val="22"/>
        </w:rPr>
        <w:t xml:space="preserve">Kaplan-Meier Analysis</w:t>
      </w:r>
    </w:p>
    <w:p>
      <w:pPr>
        <w:spacing w:after="60" w:before="60"/>
      </w:pPr>
      <w:r>
        <w:rPr>
          <w:rFonts w:ascii="Arial" w:cs="Arial" w:eastAsia="Arial" w:hAnsi="Arial"/>
          <w:sz w:val="22"/>
          <w:szCs w:val="22"/>
        </w:rPr>
        <w:t xml:space="preserve">OS and CSS will be estimated using Kaplan-Meier methods. Survival curves will be plotted by: (a) ICI era, (b) race/ethnicity, (c) rural-urban status, (d) stage, (e) treatment receipt. Log-rank tests for univariate comparisons. Median survival with 95% CI (Brookmeyer-Crowley method) reported.</w:t>
      </w:r>
    </w:p>
    <w:p>
      <w:pPr>
        <w:spacing w:after="0" w:before="0"/>
      </w:pPr>
      <w:r>
        <w:t xml:space="preserve"/>
      </w:r>
    </w:p>
    <w:p>
      <w:pPr>
        <w:spacing w:after="60" w:before="160"/>
      </w:pPr>
      <w:r>
        <w:rPr>
          <w:rFonts w:ascii="Arial" w:cs="Arial" w:eastAsia="Arial" w:hAnsi="Arial"/>
          <w:b/>
          <w:bCs/>
          <w:color w:val="404040"/>
          <w:sz w:val="22"/>
          <w:szCs w:val="22"/>
        </w:rPr>
        <w:t xml:space="preserve">Competing Risk Analysis</w:t>
      </w:r>
    </w:p>
    <w:p>
      <w:pPr>
        <w:spacing w:after="60" w:before="60"/>
      </w:pPr>
      <w:r>
        <w:rPr>
          <w:rFonts w:ascii="Arial" w:cs="Arial" w:eastAsia="Arial" w:hAnsi="Arial"/>
          <w:sz w:val="22"/>
          <w:szCs w:val="22"/>
        </w:rPr>
        <w:t xml:space="preserve">Given the elderly bladder cancer population, a substantial proportion of patients die from non-cancer causes. Cumulative incidence functions (CIF) for cancer-specific death and other-cause death will be estimated using the Fine and Gray subdistribution hazard model. This is methodologically important and distinguishes this analysis from simpler Kaplan-Meier approaches.</w:t>
      </w:r>
    </w:p>
    <w:p>
      <w:pPr>
        <w:spacing w:after="0" w:before="0"/>
      </w:pPr>
      <w:r>
        <w:t xml:space="preserve"/>
      </w:r>
    </w:p>
    <w:p>
      <w:pPr>
        <w:spacing w:after="60" w:before="160"/>
      </w:pPr>
      <w:r>
        <w:rPr>
          <w:rFonts w:ascii="Arial" w:cs="Arial" w:eastAsia="Arial" w:hAnsi="Arial"/>
          <w:b/>
          <w:bCs/>
          <w:color w:val="404040"/>
          <w:sz w:val="22"/>
          <w:szCs w:val="22"/>
        </w:rPr>
        <w:t xml:space="preserve">Multivariable Cox Proportional Hazards Regression</w:t>
      </w:r>
    </w:p>
    <w:p>
      <w:pPr>
        <w:spacing w:after="60" w:before="60"/>
      </w:pPr>
      <w:r>
        <w:rPr>
          <w:rFonts w:ascii="Arial" w:cs="Arial" w:eastAsia="Arial" w:hAnsi="Arial"/>
          <w:sz w:val="22"/>
          <w:szCs w:val="22"/>
        </w:rPr>
        <w:t xml:space="preserve">Adjusted hazard ratios (HR) with 95% CI for OS will be estimated using Cox regression. Model 1: unadjusted. Model 2: adjusted for age, sex, race, stage, grade, marital status. Model 3: fully adjusted adding rurality, income quartile, registry region, and diagnosis era. Proportional hazards assumption verified using Schoenfeld residuals and log-log survival plots. Time-varying covariates modeled where assumption is violated.</w:t>
      </w:r>
    </w:p>
    <w:p>
      <w:pPr>
        <w:spacing w:after="0" w:before="0"/>
      </w:pPr>
      <w:r>
        <w:t xml:space="preserve"/>
      </w:r>
    </w:p>
    <w:p>
      <w:pPr>
        <w:pStyle w:val="Heading2"/>
        <w:spacing w:after="80" w:before="240"/>
      </w:pPr>
      <w:r>
        <w:rPr>
          <w:rFonts w:ascii="Arial" w:cs="Arial" w:eastAsia="Arial" w:hAnsi="Arial"/>
          <w:b/>
          <w:bCs/>
          <w:color w:val="2E75B6"/>
          <w:sz w:val="24"/>
          <w:szCs w:val="24"/>
        </w:rPr>
        <w:t xml:space="preserve">6.5 Predictors of No Treatment Receipt</w:t>
      </w:r>
    </w:p>
    <w:p>
      <w:pPr>
        <w:spacing w:after="60" w:before="60"/>
      </w:pPr>
      <w:r>
        <w:rPr>
          <w:rFonts w:ascii="Arial" w:cs="Arial" w:eastAsia="Arial" w:hAnsi="Arial"/>
          <w:sz w:val="22"/>
          <w:szCs w:val="22"/>
        </w:rPr>
        <w:t xml:space="preserve">Multivariable logistic regression with ‘no cancer-directed treatment’ as the binary outcome. Independent variables: age, sex, race/ethnicity, rural-urban code, income quartile, marital status, stage, grade, registry region, diagnosis era. Adjusted odds ratios (AOR) with 95% CI reported. This is the primary market access research question and will be highlighted as a key finding.</w:t>
      </w:r>
    </w:p>
    <w:p>
      <w:pPr>
        <w:spacing w:after="0" w:before="0"/>
      </w:pPr>
      <w:r>
        <w:t xml:space="preserve"/>
      </w:r>
    </w:p>
    <w:p>
      <w:pPr>
        <w:pStyle w:val="Heading2"/>
        <w:spacing w:after="80" w:before="240"/>
      </w:pPr>
      <w:r>
        <w:rPr>
          <w:rFonts w:ascii="Arial" w:cs="Arial" w:eastAsia="Arial" w:hAnsi="Arial"/>
          <w:b/>
          <w:bCs/>
          <w:color w:val="2E75B6"/>
          <w:sz w:val="24"/>
          <w:szCs w:val="24"/>
        </w:rPr>
        <w:t xml:space="preserve">6.6 Subgroup and Interaction Analyses</w:t>
      </w:r>
    </w:p>
    <w:p>
      <w:pPr>
        <w:pStyle w:val="ListParagraph"/>
        <w:numPr>
          <w:ilvl w:val="0"/>
          <w:numId w:val="3"/>
        </w:numPr>
        <w:spacing w:after="40" w:before="40"/>
      </w:pPr>
      <w:r>
        <w:rPr>
          <w:rFonts w:ascii="Arial" w:cs="Arial" w:eastAsia="Arial" w:hAnsi="Arial"/>
          <w:sz w:val="22"/>
          <w:szCs w:val="22"/>
        </w:rPr>
        <w:t xml:space="preserve">Pre-specified subgroup analyses by stage (II vs. III vs. IV), race (NHW vs. NHB vs. Hispanic), and rurality (metro vs. urban vs. rural)</w:t>
      </w:r>
    </w:p>
    <w:p>
      <w:pPr>
        <w:pStyle w:val="ListParagraph"/>
        <w:numPr>
          <w:ilvl w:val="0"/>
          <w:numId w:val="3"/>
        </w:numPr>
        <w:spacing w:after="40" w:before="40"/>
      </w:pPr>
      <w:r>
        <w:rPr>
          <w:rFonts w:ascii="Arial" w:cs="Arial" w:eastAsia="Arial" w:hAnsi="Arial"/>
          <w:sz w:val="22"/>
          <w:szCs w:val="22"/>
        </w:rPr>
        <w:t xml:space="preserve">Interaction terms (race × ICI era; rurality × ICI era) tested in Cox models to assess whether the survival benefit of the ICI era differed by subgroup</w:t>
      </w:r>
    </w:p>
    <w:p>
      <w:pPr>
        <w:pStyle w:val="ListParagraph"/>
        <w:numPr>
          <w:ilvl w:val="0"/>
          <w:numId w:val="3"/>
        </w:numPr>
        <w:spacing w:after="40" w:before="40"/>
      </w:pPr>
      <w:r>
        <w:rPr>
          <w:rFonts w:ascii="Arial" w:cs="Arial" w:eastAsia="Arial" w:hAnsi="Arial"/>
          <w:sz w:val="22"/>
          <w:szCs w:val="22"/>
        </w:rPr>
        <w:t xml:space="preserve">Forest plot of HR by subgroup for visual presentation</w:t>
      </w:r>
    </w:p>
    <w:p>
      <w:pPr>
        <w:spacing w:after="0" w:before="0"/>
      </w:pPr>
      <w:r>
        <w:t xml:space="preserve"/>
      </w:r>
    </w:p>
    <w:p>
      <w:pPr>
        <w:pStyle w:val="Heading2"/>
        <w:spacing w:after="80" w:before="240"/>
      </w:pPr>
      <w:r>
        <w:rPr>
          <w:rFonts w:ascii="Arial" w:cs="Arial" w:eastAsia="Arial" w:hAnsi="Arial"/>
          <w:b/>
          <w:bCs/>
          <w:color w:val="2E75B6"/>
          <w:sz w:val="24"/>
          <w:szCs w:val="24"/>
        </w:rPr>
        <w:t xml:space="preserve">6.7 Sensitivity Analyses</w:t>
      </w:r>
    </w:p>
    <w:p>
      <w:pPr>
        <w:pStyle w:val="ListParagraph"/>
        <w:numPr>
          <w:ilvl w:val="0"/>
          <w:numId w:val="2"/>
        </w:numPr>
        <w:spacing w:after="40" w:before="40"/>
      </w:pPr>
      <w:r>
        <w:rPr>
          <w:rFonts w:ascii="Arial" w:cs="Arial" w:eastAsia="Arial" w:hAnsi="Arial"/>
          <w:sz w:val="22"/>
          <w:szCs w:val="22"/>
        </w:rPr>
        <w:t xml:space="preserve">Restrict to patients with survival time &gt;0 months (exclude same-month deaths)</w:t>
      </w:r>
    </w:p>
    <w:p>
      <w:pPr>
        <w:pStyle w:val="ListParagraph"/>
        <w:numPr>
          <w:ilvl w:val="0"/>
          <w:numId w:val="2"/>
        </w:numPr>
        <w:spacing w:after="40" w:before="40"/>
      </w:pPr>
      <w:r>
        <w:rPr>
          <w:rFonts w:ascii="Arial" w:cs="Arial" w:eastAsia="Arial" w:hAnsi="Arial"/>
          <w:sz w:val="22"/>
          <w:szCs w:val="22"/>
        </w:rPr>
        <w:t xml:space="preserve">Include AJCC stage I cases (NMIBC) to assess whether disparities differ by disease stage</w:t>
      </w:r>
    </w:p>
    <w:p>
      <w:pPr>
        <w:pStyle w:val="ListParagraph"/>
        <w:numPr>
          <w:ilvl w:val="0"/>
          <w:numId w:val="2"/>
        </w:numPr>
        <w:spacing w:after="40" w:before="40"/>
      </w:pPr>
      <w:r>
        <w:rPr>
          <w:rFonts w:ascii="Arial" w:cs="Arial" w:eastAsia="Arial" w:hAnsi="Arial"/>
          <w:sz w:val="22"/>
          <w:szCs w:val="22"/>
        </w:rPr>
        <w:t xml:space="preserve">Include all histologies (not just urothelial) to assess robustness</w:t>
      </w:r>
    </w:p>
    <w:p>
      <w:pPr>
        <w:pStyle w:val="ListParagraph"/>
        <w:numPr>
          <w:ilvl w:val="0"/>
          <w:numId w:val="2"/>
        </w:numPr>
        <w:spacing w:after="40" w:before="40"/>
      </w:pPr>
      <w:r>
        <w:rPr>
          <w:rFonts w:ascii="Arial" w:cs="Arial" w:eastAsia="Arial" w:hAnsi="Arial"/>
          <w:sz w:val="22"/>
          <w:szCs w:val="22"/>
        </w:rPr>
        <w:t xml:space="preserve">Use SEER summary stage (localized/regional/distant) instead of AJCC stage</w:t>
      </w:r>
    </w:p>
    <w:p>
      <w:pPr>
        <w:pStyle w:val="ListParagraph"/>
        <w:numPr>
          <w:ilvl w:val="0"/>
          <w:numId w:val="2"/>
        </w:numPr>
        <w:spacing w:after="40" w:before="40"/>
      </w:pPr>
      <w:r>
        <w:rPr>
          <w:rFonts w:ascii="Arial" w:cs="Arial" w:eastAsia="Arial" w:hAnsi="Arial"/>
          <w:sz w:val="22"/>
          <w:szCs w:val="22"/>
        </w:rPr>
        <w:t xml:space="preserve">Restrict to complete-case analysis (exclude unknown covariates) vs. main analysis treating unknown as separate category</w:t>
      </w:r>
    </w:p>
    <w:p>
      <w:pPr>
        <w:spacing w:after="0" w:before="0"/>
      </w:pPr>
      <w:r>
        <w:t xml:space="preserve"/>
      </w:r>
    </w:p>
    <w:p>
      <w:pPr>
        <w:pStyle w:val="Heading2"/>
        <w:spacing w:after="80" w:before="240"/>
      </w:pPr>
      <w:r>
        <w:rPr>
          <w:rFonts w:ascii="Arial" w:cs="Arial" w:eastAsia="Arial" w:hAnsi="Arial"/>
          <w:b/>
          <w:bCs/>
          <w:color w:val="2E75B6"/>
          <w:sz w:val="24"/>
          <w:szCs w:val="24"/>
        </w:rPr>
        <w:t xml:space="preserve">6.8 Software</w:t>
      </w:r>
    </w:p>
    <w:p>
      <w:pPr>
        <w:spacing w:after="60" w:before="60"/>
      </w:pPr>
      <w:r>
        <w:rPr>
          <w:rFonts w:ascii="Arial" w:cs="Arial" w:eastAsia="Arial" w:hAnsi="Arial"/>
          <w:sz w:val="22"/>
          <w:szCs w:val="22"/>
        </w:rPr>
        <w:t xml:space="preserve">All analyses will be conducted in Python 3.10+ using: pandas (data management), numpy (computation), lifelines (Kaplan-Meier, Cox regression, Fine-Gray competing risk), statsmodels (logistic regression, ITS models), matplotlib and seaborn (figures). Joinpoint regression via NCI Joinpoint Program (Windows application, free download from surveillance.cancer.gov/joinpoint). All code version-controlled on GitHub.</w:t>
      </w:r>
    </w:p>
    <w:p>
      <w:pPr>
        <w:spacing w:after="60" w:before="60"/>
      </w:pPr>
      <w:r>
        <w:rPr>
          <w:rFonts w:ascii="Arial" w:cs="Arial" w:eastAsia="Arial" w:hAnsi="Arial"/>
          <w:sz w:val="22"/>
          <w:szCs w:val="22"/>
        </w:rPr>
        <w:t xml:space="preserve">Significance level: two-sided α = 0.05 throughout. No multiple comparison correction applied given pre-specified hypotheses; reported as exploratory where post-hoc.</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7. Expected Outputs and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1</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characteristics by ICI era (pre vs. post)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statistics, SMD</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Table 2</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Treatment receipt by era, race, rurality, income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Chi-square, logistic regression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3</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Predictors of no treatment receipt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Multivariable logistic regression (AOR, 95% CI)</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Table 4</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 and CSS at 1, 3, 5 years by subgroup</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Kaplan-Meier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Table 5</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Multivariable Cox regression for OS and CSS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95% CI, three models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Figure 1</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Annual trends in late-stage diagnosis and no-treatment rates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Joinpoint regression with APC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Figure 2</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Interrupted time series — treatment utilization pre/post ICI era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Segmented regression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Figure 3</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Kaplan-Meier curves by race/ethnicity and ICI era</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Log-rank test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Figure 4</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Cumulative incidence functions (cancer vs. other-cause death)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Fine-Gray competing risk</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Figure 5</w:t>
            </w:r>
          </w:p>
        </w:tc>
        <w:tc>
          <w:tcPr>
            <w:tcW w:type="dxa" w:w="4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Forest plot of HR by subgroup</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Cox subgroup analysis</w:t>
            </w:r>
          </w:p>
        </w:tc>
      </w:tr>
    </w:tbl>
    <w:p>
      <w:pPr>
        <w:spacing w:after="0" w:before="0"/>
      </w:pPr>
      <w:r>
        <w:t xml:space="preserve"/>
      </w:r>
    </w:p>
    <w:p>
      <w:pPr>
        <w:spacing w:after="0" w:before="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8. Limitations</w:t>
      </w:r>
    </w:p>
    <w:p>
      <w:pPr>
        <w:pStyle w:val="ListParagraph"/>
        <w:numPr>
          <w:ilvl w:val="0"/>
          <w:numId w:val="3"/>
        </w:numPr>
        <w:spacing w:after="40" w:before="40"/>
      </w:pPr>
      <w:r>
        <w:rPr>
          <w:rFonts w:ascii="Arial" w:cs="Arial" w:eastAsia="Arial" w:hAnsi="Arial"/>
          <w:sz w:val="22"/>
          <w:szCs w:val="22"/>
        </w:rPr>
        <w:t xml:space="preserve">SEER public use files do not include chemotherapy or immunotherapy receipt, limiting direct assessment of ICI treatment utilization. This is the primary analytical constraint and will be acknowledged as a study limitation. Surgical and radiation treatment serve as proxies for active cancer-directed therapy.</w:t>
      </w:r>
    </w:p>
    <w:p>
      <w:pPr>
        <w:pStyle w:val="ListParagraph"/>
        <w:numPr>
          <w:ilvl w:val="0"/>
          <w:numId w:val="3"/>
        </w:numPr>
        <w:spacing w:after="40" w:before="40"/>
      </w:pPr>
      <w:r>
        <w:rPr>
          <w:rFonts w:ascii="Arial" w:cs="Arial" w:eastAsia="Arial" w:hAnsi="Arial"/>
          <w:sz w:val="22"/>
          <w:szCs w:val="22"/>
        </w:rPr>
        <w:t xml:space="preserve">SEER captures first-course treatment only — subsequent lines of therapy, treatment changes, and disease recurrence are not available.</w:t>
      </w:r>
    </w:p>
    <w:p>
      <w:pPr>
        <w:pStyle w:val="ListParagraph"/>
        <w:numPr>
          <w:ilvl w:val="0"/>
          <w:numId w:val="3"/>
        </w:numPr>
        <w:spacing w:after="40" w:before="40"/>
      </w:pPr>
      <w:r>
        <w:rPr>
          <w:rFonts w:ascii="Arial" w:cs="Arial" w:eastAsia="Arial" w:hAnsi="Arial"/>
          <w:sz w:val="22"/>
          <w:szCs w:val="22"/>
        </w:rPr>
        <w:t xml:space="preserve">County-level income is an ecological proxy for individual socioeconomic status and may not capture within-county variation.</w:t>
      </w:r>
    </w:p>
    <w:p>
      <w:pPr>
        <w:pStyle w:val="ListParagraph"/>
        <w:numPr>
          <w:ilvl w:val="0"/>
          <w:numId w:val="3"/>
        </w:numPr>
        <w:spacing w:after="40" w:before="40"/>
      </w:pPr>
      <w:r>
        <w:rPr>
          <w:rFonts w:ascii="Arial" w:cs="Arial" w:eastAsia="Arial" w:hAnsi="Arial"/>
          <w:sz w:val="22"/>
          <w:szCs w:val="22"/>
        </w:rPr>
        <w:t xml:space="preserve">Chemotherapy receipt is not available, preventing characterization of systemic therapy patterns.</w:t>
      </w:r>
    </w:p>
    <w:p>
      <w:pPr>
        <w:pStyle w:val="ListParagraph"/>
        <w:numPr>
          <w:ilvl w:val="0"/>
          <w:numId w:val="3"/>
        </w:numPr>
        <w:spacing w:after="40" w:before="40"/>
      </w:pPr>
      <w:r>
        <w:rPr>
          <w:rFonts w:ascii="Arial" w:cs="Arial" w:eastAsia="Arial" w:hAnsi="Arial"/>
          <w:sz w:val="22"/>
          <w:szCs w:val="22"/>
        </w:rPr>
        <w:t xml:space="preserve">SEER does not capture comorbidity data (Charlson Comorbidity Index unavailable) — residual confounding from comorbidities affecting treatment decisions is possible.</w:t>
      </w:r>
    </w:p>
    <w:p>
      <w:pPr>
        <w:pStyle w:val="ListParagraph"/>
        <w:numPr>
          <w:ilvl w:val="0"/>
          <w:numId w:val="3"/>
        </w:numPr>
        <w:spacing w:after="40" w:before="40"/>
      </w:pPr>
      <w:r>
        <w:rPr>
          <w:rFonts w:ascii="Arial" w:cs="Arial" w:eastAsia="Arial" w:hAnsi="Arial"/>
          <w:sz w:val="22"/>
          <w:szCs w:val="22"/>
        </w:rPr>
        <w:t xml:space="preserve">Generalizability limited to the ~28% of the US population covered by SEER registries.</w:t>
      </w:r>
    </w:p>
    <w:p>
      <w:pPr>
        <w:spacing w:after="0" w:before="0"/>
      </w:pPr>
      <w:r>
        <w:t xml:space="preserve"/>
      </w:r>
    </w:p>
    <w:p>
      <w:pPr>
        <w:spacing w:after="0" w:before="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9. Ethical Considerations</w:t>
      </w:r>
    </w:p>
    <w:p>
      <w:pPr>
        <w:spacing w:after="60" w:before="60"/>
      </w:pPr>
      <w:r>
        <w:rPr>
          <w:rFonts w:ascii="Arial" w:cs="Arial" w:eastAsia="Arial" w:hAnsi="Arial"/>
          <w:sz w:val="22"/>
          <w:szCs w:val="22"/>
        </w:rPr>
        <w:t xml:space="preserve">This study uses publicly available, de-identified data from the SEER program. No patient contact, intervention, or collection of identifiable data occurs. Under 45 CFR 46.102(l), this study is exempt from IRB review. The SEER data use agreement prohibits any attempt to identify individual patients from the data.</w:t>
      </w:r>
    </w:p>
    <w:p>
      <w:pPr>
        <w:spacing w:after="0" w:before="0"/>
      </w:pPr>
      <w:r>
        <w:t xml:space="preserve"/>
      </w:r>
    </w:p>
    <w:p>
      <w:pPr>
        <w:spacing w:after="0" w:before="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10. Dissemination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 journal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 factor (approx.)</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in Health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 ISPOR’s journal; read weekly by pharma HEOR teams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Cancer Medicine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 access; fast review; PubMed indexed; HEOR-friendly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Urologic Oncology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Specialty audience; bladder cancer clinicians and HEOR teams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JNCI Cancer Spectrum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NCI-affiliated; open access; disparity focus</w:t>
            </w:r>
          </w:p>
        </w:tc>
      </w:tr>
    </w:tbl>
    <w:p>
      <w:pPr>
        <w:spacing w:after="0" w:before="0"/>
      </w:pPr>
      <w:r>
        <w:t xml:space="preserve"/>
      </w:r>
    </w:p>
    <w:p>
      <w:pPr>
        <w:spacing w:after="60" w:before="60"/>
      </w:pPr>
      <w:r>
        <w:rPr>
          <w:rFonts w:ascii="Arial" w:cs="Arial" w:eastAsia="Arial" w:hAnsi="Arial"/>
          <w:sz w:val="22"/>
          <w:szCs w:val="22"/>
        </w:rPr>
        <w:t xml:space="preserve">Conference abstract submission: ISPOR Annual Meeting (primary), ASCO Genitourinary Cancers Symposium (secondary). GitHub repository with all analysis code to be made public upon manuscript submission.</w:t>
      </w:r>
    </w:p>
    <w:p>
      <w:r>
        <w:br w:type="page"/>
      </w:r>
    </w:p>
    <w:p>
      <w:pPr>
        <w:pStyle w:val="Heading1"/>
        <w:pBdr>
          <w:bottom w:val="single" w:color="2E75B6" w:sz="6" w:space="4"/>
        </w:pBdr>
        <w:spacing w:after="120" w:before="360"/>
      </w:pPr>
      <w:r>
        <w:rPr>
          <w:rFonts w:ascii="Arial" w:cs="Arial" w:eastAsia="Arial" w:hAnsi="Arial"/>
          <w:b/>
          <w:bCs/>
          <w:color w:val="1F4E79"/>
          <w:sz w:val="28"/>
          <w:szCs w:val="28"/>
        </w:rPr>
        <w:t xml:space="preserve">11.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c>
          <w:tcPr>
            <w:tcW w:type="dxa" w:w="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SEER registration, data download, SEER*Stat export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 cleaning, cohort identification, variable coding</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Weeks 2–3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Descriptive analysis and Table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Joinpoint regression (NCI software)</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ITS analysis, survival analysis, Cox regression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4–5</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Competing risk analysis, sensitivity analyses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 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Figures, tables, manuscript draft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Weeks 7–8</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Revision, co-author review (if applicable), submission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Weeks 9–10</w:t>
            </w:r>
          </w:p>
        </w:tc>
      </w:tr>
    </w:tbl>
    <w:p>
      <w:pPr>
        <w:spacing w:after="0" w:before="0"/>
      </w:pPr>
      <w:r>
        <w:t xml:space="preserve"/>
      </w:r>
    </w:p>
    <w:p>
      <w:pPr>
        <w:spacing w:after="0" w:before="0"/>
      </w:pPr>
      <w:r>
        <w:t xml:space="preserve"/>
      </w:r>
    </w:p>
    <w:p>
      <w:pPr>
        <w:pStyle w:val="Heading1"/>
        <w:pBdr>
          <w:bottom w:val="single" w:color="2E75B6" w:sz="6" w:space="4"/>
        </w:pBdr>
        <w:spacing w:after="120" w:before="360"/>
      </w:pPr>
      <w:r>
        <w:rPr>
          <w:rFonts w:ascii="Arial" w:cs="Arial" w:eastAsia="Arial" w:hAnsi="Arial"/>
          <w:b/>
          <w:bCs/>
          <w:color w:val="1F4E79"/>
          <w:sz w:val="28"/>
          <w:szCs w:val="28"/>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Surveillance, Epidemiology, and End Results — NCI’s population-based cancer registry program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MIBC</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Muscle-invasive bladder cancer — tumor invades detrusor muscle (T2 or higher)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Immune checkpoint inhibitor — drugs targeting PD-1/PD-L1 or CTLA-4 pathways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HCRU</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Healthcare resource utilization — hospitalizations, ED visits, outpatient visits, procedures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percent change — measure of trend direction and magnitude in joinpoint regression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ITS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Interrupted time series — quasi-experimental design to estimate pre/post policy change effects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Cancer-specific survival — survival time until death from the cancer of interest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Overall survival — survival time until death from any cause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Hazard ratio — ratio of event rates between two groups in Cox regression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AOR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Adjusted odds ratio — odds ratio from multivariable logistic regression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Standardized mean difference — effect size measure for group comparisons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RUCC</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Rural-Urban Continuum Code — USDA classification of county urbanization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Fine-Gray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Competing risk regression model accounting for non-cancer deaths as competing events</w:t>
            </w:r>
          </w:p>
        </w:tc>
      </w:tr>
    </w:tbl>
    <w:p>
      <w:pPr>
        <w:spacing w:after="0" w:before="0"/>
      </w:pPr>
      <w:r>
        <w:t xml:space="preserve"/>
      </w:r>
    </w:p>
    <w:p>
      <w:pPr>
        <w:pBdr>
          <w:top w:val="single" w:color="CCCCCC" w:sz="4" w:space="4"/>
        </w:pBdr>
        <w:spacing w:before="240"/>
      </w:pPr>
      <w:r>
        <w:rPr>
          <w:rFonts w:ascii="Arial" w:cs="Arial" w:eastAsia="Arial" w:hAnsi="Arial"/>
          <w:i/>
          <w:iCs/>
          <w:color w:val="888888"/>
          <w:sz w:val="18"/>
          <w:szCs w:val="18"/>
        </w:rPr>
        <w:t xml:space="preserve">Protocol version 1.0 — Generated June 4, 2026</w:t>
      </w:r>
    </w:p>
    <w:sectPr>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CONFIDENTIAL — Study Protocol v1.0   |   Page </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2026-06-04T03:32:20.054Z</dcterms:created>
  <dcterms:modified xsi:type="dcterms:W3CDTF">2026-06-04T03:32:20.054Z</dcterms:modified>
</cp:coreProperties>
</file>

<file path=docProps/custom.xml><?xml version="1.0" encoding="utf-8"?>
<Properties xmlns="http://schemas.openxmlformats.org/officeDocument/2006/custom-properties" xmlns:vt="http://schemas.openxmlformats.org/officeDocument/2006/docPropsVTypes"/>
</file>