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========================================================================</w:t>
      </w:r>
      <w:r>
        <w:t xml:space="preserve"> </w:t>
      </w:r>
      <w:r>
        <w:t xml:space="preserve">BUCKMAN WELLFIELD DEPLETION PIPELINE -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Heading2"/>
      </w:pPr>
      <w:bookmarkStart w:id="20" w:name="header-metadata"/>
      <w:r>
        <w:t xml:space="preserve">1. Header /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Run Timestamp</w:t>
            </w:r>
          </w:p>
        </w:tc>
        <w:tc>
          <w:p>
            <w:pPr>
              <w:pStyle w:val="Compact"/>
              <w:jc w:val="left"/>
            </w:pPr>
            <w:r>
              <w:t xml:space="preserve">2026-02-19 11:55:42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Processing Year</w:t>
            </w:r>
          </w:p>
        </w:tc>
        <w:tc>
          <w:p>
            <w:pPr>
              <w:pStyle w:val="Compact"/>
              <w:jc w:val="left"/>
            </w:pPr>
            <w:r>
              <w:t xml:space="preserve">2024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Operator</w:t>
            </w:r>
          </w:p>
        </w:tc>
        <w:tc>
          <w:p>
            <w:pPr>
              <w:pStyle w:val="Compact"/>
              <w:jc w:val="left"/>
            </w:pPr>
            <w:r>
              <w:t xml:space="preserve">bradwolaver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Machine</w:t>
            </w:r>
          </w:p>
        </w:tc>
        <w:tc>
          <w:p>
            <w:pPr>
              <w:pStyle w:val="Compact"/>
              <w:jc w:val="left"/>
            </w:pPr>
            <w:r>
              <w:t xml:space="preserve">OSE-HYDRO-D0P3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Linux 5.15.167.4-microsoft-standard-WSL2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3.10.12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Git Commit</w:t>
            </w:r>
          </w:p>
        </w:tc>
        <w:tc>
          <w:p>
            <w:pPr>
              <w:pStyle w:val="Compact"/>
              <w:jc w:val="left"/>
            </w:pPr>
            <w:r>
              <w:t xml:space="preserve">a5bf7f9819c4 (dirty)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master</w:t>
            </w:r>
          </w:p>
        </w:tc>
      </w:tr>
    </w:tbl>
    <w:p>
      <w:pPr>
        <w:pStyle w:val="Heading2"/>
      </w:pPr>
      <w:bookmarkStart w:id="21" w:name="executive-summary"/>
      <w:r>
        <w:t xml:space="preserve">2. Executive Summary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 Pumping:</w:t>
      </w:r>
      <w:r>
        <w:t xml:space="preserve"> </w:t>
      </w:r>
      <w:r>
        <w:t xml:space="preserve">1372.92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(Below Otowi):</w:t>
      </w:r>
      <w:r>
        <w:t xml:space="preserve"> </w:t>
      </w:r>
      <w:r>
        <w:t xml:space="preserve">842.95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Rio Grande Depletion (Above Otowi):</w:t>
      </w:r>
      <w:r>
        <w:t xml:space="preserve"> </w:t>
      </w:r>
      <w:r>
        <w:t xml:space="preserve">101.43 AF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Verification Status:</w:t>
      </w:r>
      <w:r>
        <w:t xml:space="preserve"> </w:t>
      </w:r>
      <w:r>
        <w:t xml:space="preserve">PASS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Passed:</w:t>
      </w:r>
      <w:r>
        <w:t xml:space="preserve"> </w:t>
      </w:r>
      <w:r>
        <w:t xml:space="preserve">224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Tests Failed:</w:t>
      </w:r>
      <w:r>
        <w:t xml:space="preserve"> </w:t>
      </w:r>
      <w:r>
        <w:t xml:space="preserve">0</w:t>
      </w:r>
    </w:p>
    <w:p>
      <w:pPr>
        <w:pStyle w:val="Heading2"/>
      </w:pPr>
      <w:bookmarkStart w:id="22" w:name="input-file-inventory"/>
      <w:r>
        <w:t xml:space="preserve">3. Input File Inventory</w:t>
      </w:r>
      <w:bookmarkEnd w:id="22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Buckman_Well_Prod_2024.csv</w:t>
            </w:r>
          </w:p>
        </w:tc>
        <w:tc>
          <w:p>
            <w:pPr>
              <w:pStyle w:val="Compact"/>
              <w:jc w:val="left"/>
            </w:pPr>
            <w:r>
              <w:t xml:space="preserve">17.5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dd987f16e44e4406...</w:t>
            </w:r>
          </w:p>
        </w:tc>
        <w:tc>
          <w:p>
            <w:pPr>
              <w:pStyle w:val="Compact"/>
              <w:jc w:val="left"/>
            </w:pPr>
            <w:r>
              <w:t xml:space="preserve">Primary input - daily pumping data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thruCY2165.wel</w:t>
            </w:r>
          </w:p>
        </w:tc>
        <w:tc>
          <w:p>
            <w:pPr>
              <w:pStyle w:val="Compact"/>
              <w:jc w:val="left"/>
            </w:pPr>
            <w:r>
              <w:t xml:space="preserve">3233.1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7bb62f160837d586...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CY2023.nam</w:t>
            </w:r>
          </w:p>
        </w:tc>
        <w:tc>
          <w:p>
            <w:pPr>
              <w:pStyle w:val="Compact"/>
              <w:jc w:val="left"/>
            </w:pPr>
            <w:r>
              <w:t xml:space="preserve">0.2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74e478de45988b6e...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sflcs.bcf</w:t>
            </w:r>
          </w:p>
        </w:tc>
        <w:tc>
          <w:p>
            <w:pPr>
              <w:pStyle w:val="Compact"/>
              <w:jc w:val="left"/>
            </w:pPr>
            <w:r>
              <w:t xml:space="preserve">20.9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abd982121a0b994d...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thruCY2165.bas</w:t>
            </w:r>
          </w:p>
        </w:tc>
        <w:tc>
          <w:p>
            <w:pPr>
              <w:pStyle w:val="Compact"/>
              <w:jc w:val="left"/>
            </w:pPr>
            <w:r>
              <w:t xml:space="preserve">97.4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999d1d3eaaf0f204...</w:t>
            </w:r>
          </w:p>
        </w:tc>
        <w:tc>
          <w:p>
            <w:pPr>
              <w:pStyle w:val="Compact"/>
              <w:jc w:val="left"/>
            </w:pPr>
            <w:r>
              <w:t xml:space="preserve">MODFLOW template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bounds.yaml</w:t>
            </w:r>
          </w:p>
        </w:tc>
        <w:tc>
          <w:p>
            <w:pPr>
              <w:pStyle w:val="Compact"/>
              <w:jc w:val="left"/>
            </w:pPr>
            <w:r>
              <w:t xml:space="preserve">6.6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27645f14c927ee30...</w:t>
            </w:r>
          </w:p>
        </w:tc>
        <w:tc>
          <w:p>
            <w:pPr>
              <w:pStyle w:val="Compact"/>
              <w:jc w:val="left"/>
            </w:pPr>
            <w:r>
              <w:t xml:space="preserve">Physical bounds validation</w:t>
            </w:r>
          </w:p>
        </w:tc>
      </w:tr>
    </w:tbl>
    <w:p>
      <w:pPr>
        <w:pStyle w:val="Heading2"/>
      </w:pPr>
      <w:bookmarkStart w:id="23" w:name="step-by-step-execution-log"/>
      <w:r>
        <w:t xml:space="preserve">4. Step-by-Step Execution Log</w:t>
      </w:r>
      <w:bookmarkEnd w:id="23"/>
    </w:p>
    <w:p>
      <w:pPr>
        <w:pStyle w:val="Heading3"/>
      </w:pPr>
      <w:bookmarkStart w:id="24" w:name="step-1-ingest-buckman-pumping-data"/>
      <w:r>
        <w:t xml:space="preserve">Step 1: Ingest Buckman Pumping Data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Buckman_Well_Prod_2024.csv</w:t>
      </w:r>
    </w:p>
    <w:p>
      <w:pPr>
        <w:numPr>
          <w:ilvl w:val="0"/>
          <w:numId w:val="1002"/>
        </w:numPr>
        <w:pStyle w:val="Compact"/>
      </w:pPr>
      <w:r>
        <w:t xml:space="preserve">Output: Tables 1 and 2 (historical and monthly pumping)</w:t>
      </w:r>
    </w:p>
    <w:p>
      <w:pPr>
        <w:numPr>
          <w:ilvl w:val="0"/>
          <w:numId w:val="1002"/>
        </w:numPr>
        <w:pStyle w:val="Compact"/>
      </w:pPr>
      <w:r>
        <w:t xml:space="preserve">Records processed: 12 months</w:t>
      </w:r>
    </w:p>
    <w:p>
      <w:pPr>
        <w:pStyle w:val="Heading3"/>
      </w:pPr>
      <w:bookmarkStart w:id="25" w:name="step-2-update-modflow-files"/>
      <w:r>
        <w:t xml:space="preserve">Step 2: Update MODFLOW Files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Input: Prior year WEL file + Table 2 pumping data</w:t>
      </w:r>
    </w:p>
    <w:p>
      <w:pPr>
        <w:numPr>
          <w:ilvl w:val="0"/>
          <w:numId w:val="1003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thruCY2165_2024.wel</w:t>
      </w:r>
      <w:r>
        <w:t xml:space="preserve">,</w:t>
      </w:r>
      <w:r>
        <w:t xml:space="preserve"> </w:t>
      </w:r>
      <w:r>
        <w:rPr>
          <w:rStyle w:val="VerbatimChar"/>
        </w:rPr>
        <w:t xml:space="preserve">CY2024.nam</w:t>
      </w:r>
    </w:p>
    <w:p>
      <w:pPr>
        <w:pStyle w:val="Heading3"/>
      </w:pPr>
      <w:bookmarkStart w:id="26" w:name="step-3-run-modflow96"/>
      <w:r>
        <w:t xml:space="preserve">Step 3: Run MODFLOW96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Executable: modflow96.exe (via Wine)</w:t>
      </w:r>
    </w:p>
    <w:p>
      <w:pPr>
        <w:numPr>
          <w:ilvl w:val="0"/>
          <w:numId w:val="1004"/>
        </w:numPr>
        <w:pStyle w:val="Compact"/>
      </w:pPr>
      <w:r>
        <w:t xml:space="preserve">Output:</w:t>
      </w:r>
      <w:r>
        <w:t xml:space="preserve"> </w:t>
      </w:r>
      <w:r>
        <w:rPr>
          <w:rStyle w:val="VerbatimChar"/>
        </w:rPr>
        <w:t xml:space="preserve">CY2024.lst</w:t>
      </w:r>
      <w:r>
        <w:t xml:space="preserve">, flux files (.flx)</w:t>
      </w:r>
    </w:p>
    <w:p>
      <w:pPr>
        <w:pStyle w:val="Heading3"/>
      </w:pPr>
      <w:bookmarkStart w:id="27" w:name="step-4-generate-depletion-tables"/>
      <w:r>
        <w:t xml:space="preserve">Step 4: Generate Depletion Tables</w:t>
      </w:r>
      <w:bookmarkEnd w:id="27"/>
    </w:p>
    <w:p>
      <w:pPr>
        <w:numPr>
          <w:ilvl w:val="0"/>
          <w:numId w:val="1005"/>
        </w:numPr>
        <w:pStyle w:val="Compact"/>
      </w:pPr>
      <w:r>
        <w:t xml:space="preserve">Post-processor: sfmodflx_2245.exe</w:t>
      </w:r>
    </w:p>
    <w:p>
      <w:pPr>
        <w:numPr>
          <w:ilvl w:val="0"/>
          <w:numId w:val="1005"/>
        </w:numPr>
        <w:pStyle w:val="Compact"/>
      </w:pPr>
      <w:r>
        <w:t xml:space="preserve">Output: Tables 3, 4, 5 (stream depletions)</w:t>
      </w:r>
    </w:p>
    <w:p>
      <w:pPr>
        <w:pStyle w:val="Heading2"/>
      </w:pPr>
      <w:bookmarkStart w:id="28" w:name="output-file-inventory"/>
      <w:r>
        <w:t xml:space="preserve">5. Output File Inventory</w:t>
      </w:r>
      <w:bookmarkEnd w:id="28"/>
    </w:p>
    <w:tbl>
      <w:tblPr>
        <w:tblStyle w:val="Table"/>
        <w:tblW w:type="pct" w:w="5000.0"/>
        <w:tblLook w:firstRow="1"/>
      </w:tblPr>
      <w:tblGrid>
        <w:gridCol w:w="1218"/>
        <w:gridCol w:w="1218"/>
        <w:gridCol w:w="4264"/>
        <w:gridCol w:w="12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Size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SHA-256 (truncated)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2024_Table_1_updated.xlsx</w:t>
            </w:r>
          </w:p>
        </w:tc>
        <w:tc>
          <w:p>
            <w:pPr>
              <w:pStyle w:val="Compact"/>
              <w:jc w:val="left"/>
            </w:pPr>
            <w:r>
              <w:t xml:space="preserve">9.1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82db894d14963c2b...</w:t>
            </w:r>
          </w:p>
        </w:tc>
        <w:tc>
          <w:p>
            <w:pPr>
              <w:pStyle w:val="Compact"/>
              <w:jc w:val="left"/>
            </w:pPr>
            <w:r>
              <w:t xml:space="preserve">Table 1 - Historical annual pumping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2024_Table_2_output.xlsx</w:t>
            </w:r>
          </w:p>
        </w:tc>
        <w:tc>
          <w:p>
            <w:pPr>
              <w:pStyle w:val="Compact"/>
              <w:jc w:val="left"/>
            </w:pPr>
            <w:r>
              <w:t xml:space="preserve">6.5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1b10eeaf8a98e004...</w:t>
            </w:r>
          </w:p>
        </w:tc>
        <w:tc>
          <w:p>
            <w:pPr>
              <w:pStyle w:val="Compact"/>
              <w:jc w:val="left"/>
            </w:pPr>
            <w:r>
              <w:t xml:space="preserve">Table 2 - Monthly pumping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TABLE_3_Rio_Pojoaque_Tesuque_2024.xlsx</w:t>
            </w:r>
          </w:p>
        </w:tc>
        <w:tc>
          <w:p>
            <w:pPr>
              <w:pStyle w:val="Compact"/>
              <w:jc w:val="left"/>
            </w:pPr>
            <w:r>
              <w:t xml:space="preserve">7.9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593eb76b47b7e5d6...</w:t>
            </w:r>
          </w:p>
        </w:tc>
        <w:tc>
          <w:p>
            <w:pPr>
              <w:pStyle w:val="Compact"/>
              <w:jc w:val="left"/>
            </w:pPr>
            <w:r>
              <w:t xml:space="preserve">Table 3 - Rio Pojoaque/Tesuque depletions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TABLE_4_Rio_Grande_Otowi_2024.xlsx</w:t>
            </w:r>
          </w:p>
        </w:tc>
        <w:tc>
          <w:p>
            <w:pPr>
              <w:pStyle w:val="Compact"/>
              <w:jc w:val="left"/>
            </w:pPr>
            <w:r>
              <w:t xml:space="preserve">10.8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615bf2c619887abc...</w:t>
            </w:r>
          </w:p>
        </w:tc>
        <w:tc>
          <w:p>
            <w:pPr>
              <w:pStyle w:val="Compact"/>
              <w:jc w:val="left"/>
            </w:pPr>
            <w:r>
              <w:t xml:space="preserve">Table 4 - Rio Grande above/below Otowi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TABLE_5_La_Cienega_Springs_2024.xlsx</w:t>
            </w:r>
          </w:p>
        </w:tc>
        <w:tc>
          <w:p>
            <w:pPr>
              <w:pStyle w:val="Compact"/>
              <w:jc w:val="left"/>
            </w:pPr>
            <w:r>
              <w:t xml:space="preserve">5.3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4f12bc3b73859acf...</w:t>
            </w:r>
          </w:p>
        </w:tc>
        <w:tc>
          <w:p>
            <w:pPr>
              <w:pStyle w:val="Compact"/>
              <w:jc w:val="left"/>
            </w:pPr>
            <w:r>
              <w:t xml:space="preserve">Table 5 - La Cienega Springs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CY2024.lst</w:t>
            </w:r>
          </w:p>
        </w:tc>
        <w:tc>
          <w:p>
            <w:pPr>
              <w:pStyle w:val="Compact"/>
              <w:jc w:val="left"/>
            </w:pPr>
            <w:r>
              <w:t xml:space="preserve">9856.0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e552ef3ba1481b1d...</w:t>
            </w:r>
          </w:p>
        </w:tc>
        <w:tc>
          <w:p>
            <w:pPr>
              <w:pStyle w:val="Compact"/>
              <w:jc w:val="left"/>
            </w:pPr>
            <w:r>
              <w:t xml:space="preserve">MODFLOW listing 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thruCY2165_2024.wel</w:t>
            </w:r>
          </w:p>
        </w:tc>
        <w:tc>
          <w:p>
            <w:pPr>
              <w:pStyle w:val="Compact"/>
              <w:jc w:val="left"/>
            </w:pPr>
            <w:r>
              <w:t xml:space="preserve">3179.9 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f3cc5867f79b1270...</w:t>
            </w:r>
          </w:p>
        </w:tc>
        <w:tc>
          <w:p>
            <w:pPr>
              <w:pStyle w:val="Compact"/>
              <w:jc w:val="left"/>
            </w:pPr>
            <w:r>
              <w:t xml:space="preserve">MODFLOW well file</w:t>
            </w:r>
          </w:p>
        </w:tc>
      </w:tr>
    </w:tbl>
    <w:p>
      <w:pPr>
        <w:pStyle w:val="Heading2"/>
      </w:pPr>
      <w:bookmarkStart w:id="29" w:name="verification-summary"/>
      <w:r>
        <w:t xml:space="preserve">6. Verification Summary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Passed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Failed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Skipped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 (smoke)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190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0.5 (edge)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Layer 1 (conservation)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TOTAL: 224 passed, 0 failed</w:t>
      </w:r>
    </w:p>
    <w:p>
      <w:pPr>
        <w:pStyle w:val="Heading2"/>
      </w:pPr>
      <w:bookmarkStart w:id="30" w:name="X7967ac77ff1944922ae5a4105a31217e5fea71a"/>
      <w:r>
        <w:t xml:space="preserve">7. Physical Interpretation (Regulatory Context)</w:t>
      </w:r>
      <w:bookmarkEnd w:id="30"/>
    </w:p>
    <w:p>
      <w:pPr>
        <w:pStyle w:val="Heading3"/>
      </w:pPr>
      <w:bookmarkStart w:id="31" w:name="pumping-analysis"/>
      <w:r>
        <w:t xml:space="preserve">Pumping Analysis</w:t>
      </w:r>
      <w:bookmarkEnd w:id="31"/>
    </w:p>
    <w:p>
      <w:pPr>
        <w:pStyle w:val="FirstParagraph"/>
      </w:pPr>
      <w:r>
        <w:rPr>
          <w:b/>
        </w:rPr>
        <w:t xml:space="preserve">Total Pumping: 1372.92 AF</w:t>
      </w:r>
      <w:r>
        <w:t xml:space="preserve"> </w:t>
      </w:r>
      <w:r>
        <w:t xml:space="preserve">in calendar year 2024.</w:t>
      </w:r>
    </w:p>
    <w:p>
      <w:pPr>
        <w:pStyle w:val="BodyText"/>
      </w:pPr>
      <w:r>
        <w:rPr>
          <w:b/>
        </w:rPr>
        <w:t xml:space="preserve">Historical Context:</w:t>
      </w:r>
      <w:r>
        <w:t xml:space="preserve"> </w:t>
      </w:r>
      <w:r>
        <w:t xml:space="preserve">- 5-year average: 1050 AF</w:t>
      </w:r>
      <w:r>
        <w:t xml:space="preserve"> </w:t>
      </w:r>
      <w:r>
        <w:t xml:space="preserve">- Year-over-year change: +30.8%</w:t>
      </w:r>
      <w:r>
        <w:t xml:space="preserve"> </w:t>
      </w:r>
      <w:r>
        <w:t xml:space="preserve">- Above-average pumping year - monitor closely</w:t>
      </w:r>
    </w:p>
    <w:p>
      <w:pPr>
        <w:pStyle w:val="BodyText"/>
      </w:pPr>
      <w:r>
        <w:rPr>
          <w:b/>
        </w:rPr>
        <w:t xml:space="preserve">Well Distribution:</w:t>
      </w:r>
      <w:r>
        <w:t xml:space="preserve"> </w:t>
      </w:r>
      <w:r>
        <w:t xml:space="preserve">- Most productive wells account for majority of extraction</w:t>
      </w:r>
      <w:r>
        <w:t xml:space="preserve"> </w:t>
      </w:r>
      <w:r>
        <w:t xml:space="preserve">- Monthly distribution reflects seasonal demand patterns</w:t>
      </w:r>
    </w:p>
    <w:p>
      <w:pPr>
        <w:pStyle w:val="Heading3"/>
      </w:pPr>
      <w:bookmarkStart w:id="32" w:name="rio-grande-compact-implications"/>
      <w:r>
        <w:t xml:space="preserve">Rio Grande Compact Implications</w:t>
      </w:r>
      <w:bookmarkEnd w:id="32"/>
    </w:p>
    <w:p>
      <w:pPr>
        <w:pStyle w:val="FirstParagraph"/>
      </w:pPr>
      <w:r>
        <w:t xml:space="preserve">Depletions below Otowi Bridge (842.95 AF) are chargeable against</w:t>
      </w:r>
      <w:r>
        <w:t xml:space="preserve"> </w:t>
      </w:r>
      <w:r>
        <w:t xml:space="preserve">New Mexico’s Rio Grande Compact delivery obligation to Texas.</w:t>
      </w:r>
    </w:p>
    <w:p>
      <w:pPr>
        <w:pStyle w:val="BodyText"/>
      </w:pPr>
      <w:r>
        <w:rPr>
          <w:b/>
        </w:rPr>
        <w:t xml:space="preserve">Key Points:</w:t>
      </w:r>
      <w:r>
        <w:t xml:space="preserve"> </w:t>
      </w:r>
      <w:r>
        <w:t xml:space="preserve">1. Rio Grande Compact (1938) allocates water among CO, NM, TX</w:t>
      </w:r>
      <w:r>
        <w:t xml:space="preserve"> </w:t>
      </w:r>
      <w:r>
        <w:t xml:space="preserve">2. Otowi gauge is the accounting point for NM deliveries</w:t>
      </w:r>
      <w:r>
        <w:t xml:space="preserve"> </w:t>
      </w:r>
      <w:r>
        <w:t xml:space="preserve">3. Groundwater depletions that reduce Rio Grande flow below Otowi</w:t>
      </w:r>
      <w:r>
        <w:t xml:space="preserve"> </w:t>
      </w:r>
      <w:r>
        <w:t xml:space="preserve">constitute a debit against NM’s allocation</w:t>
      </w:r>
    </w:p>
    <w:p>
      <w:pPr>
        <w:pStyle w:val="BodyText"/>
      </w:pPr>
      <w:r>
        <w:rPr>
          <w:b/>
        </w:rPr>
        <w:t xml:space="preserve">2024 Impact:</w:t>
      </w:r>
      <w:r>
        <w:t xml:space="preserve"> </w:t>
      </w:r>
      <w:r>
        <w:t xml:space="preserve">- Below Otowi depletion: 842.95 AF</w:t>
      </w:r>
      <w:r>
        <w:t xml:space="preserve"> </w:t>
      </w:r>
      <w:r>
        <w:t xml:space="preserve">- Above Otowi depletion: 101.43 AF (does not affect compact)</w:t>
      </w:r>
      <w:r>
        <w:t xml:space="preserve"> </w:t>
      </w:r>
      <w:r>
        <w:t xml:space="preserve">- This represents 0.2081% of typical annual NM allocation</w:t>
      </w:r>
    </w:p>
    <w:p>
      <w:pPr>
        <w:pStyle w:val="Heading3"/>
      </w:pPr>
      <w:bookmarkStart w:id="33" w:name="tributary-stream-impacts-table-3"/>
      <w:r>
        <w:t xml:space="preserve">Tributary Stream Impacts (Table 3)</w:t>
      </w:r>
      <w:bookmarkEnd w:id="33"/>
    </w:p>
    <w:p>
      <w:pPr>
        <w:pStyle w:val="FirstParagraph"/>
      </w:pPr>
      <w:r>
        <w:rPr>
          <w:b/>
        </w:rPr>
        <w:t xml:space="preserve">Rio Pojoaque:</w:t>
      </w:r>
      <w:r>
        <w:t xml:space="preserve"> </w:t>
      </w:r>
      <w:r>
        <w:t xml:space="preserve">- 2024 Depletion: 60.80 AF</w:t>
      </w:r>
      <w:r>
        <w:t xml:space="preserve"> </w:t>
      </w:r>
      <w:r>
        <w:t xml:space="preserve">- Residual Component: 0.00 AF (pre-1988 pumping tail)</w:t>
      </w:r>
      <w:r>
        <w:t xml:space="preserve"> </w:t>
      </w:r>
      <w:r>
        <w:t xml:space="preserve">- Superposition Component: 60.80 AF (1988-2024 pumping)</w:t>
      </w:r>
      <w:r>
        <w:t xml:space="preserve"> </w:t>
      </w:r>
      <w:r>
        <w:t xml:space="preserve">- Note: Pojoaque residual reached zero in 2015 (Core 2003 projection)</w:t>
      </w:r>
    </w:p>
    <w:p>
      <w:pPr>
        <w:pStyle w:val="BodyText"/>
      </w:pPr>
      <w:r>
        <w:rPr>
          <w:b/>
        </w:rPr>
        <w:t xml:space="preserve">Rio Tesuque:</w:t>
      </w:r>
      <w:r>
        <w:t xml:space="preserve"> </w:t>
      </w:r>
      <w:r>
        <w:t xml:space="preserve">- 2024 Depletion: 33.58 AF</w:t>
      </w:r>
      <w:r>
        <w:t xml:space="preserve"> </w:t>
      </w:r>
      <w:r>
        <w:t xml:space="preserve">- Residual Component: 12.88 AF (pre-1988 pumping tail)</w:t>
      </w:r>
      <w:r>
        <w:t xml:space="preserve"> </w:t>
      </w:r>
      <w:r>
        <w:t xml:space="preserve">- Superposition Component: 20.71 AF (1988-2024 pumping)</w:t>
      </w:r>
      <w:r>
        <w:t xml:space="preserve"> </w:t>
      </w:r>
      <w:r>
        <w:t xml:space="preserve">- Note: Tesuque residual continues through ~2050 (Core 2003 projection)</w:t>
      </w:r>
    </w:p>
    <w:p>
      <w:pPr>
        <w:pStyle w:val="BodyText"/>
      </w:pPr>
      <w:r>
        <w:rPr>
          <w:b/>
        </w:rPr>
        <w:t xml:space="preserve">Scientific Basis:</w:t>
      </w:r>
      <w:r>
        <w:t xml:space="preserve"> </w:t>
      </w:r>
      <w:r>
        <w:t xml:space="preserve">These calculations combine:</w:t>
      </w:r>
      <w:r>
        <w:t xml:space="preserve"> </w:t>
      </w:r>
      <w:r>
        <w:t xml:space="preserve">1. MODFLOW96 superposition model (1988-present pumping effects)</w:t>
      </w:r>
      <w:r>
        <w:t xml:space="preserve"> </w:t>
      </w:r>
      <w:r>
        <w:t xml:space="preserve">2. Core 2003 analytical projections (1972-1987 pumping residual effects)</w:t>
      </w:r>
    </w:p>
    <w:p>
      <w:pPr>
        <w:pStyle w:val="Heading3"/>
      </w:pPr>
      <w:bookmarkStart w:id="34" w:name="la-cienega-springs-table-5"/>
      <w:r>
        <w:t xml:space="preserve">La Cienega Springs (Table 5)</w:t>
      </w:r>
      <w:bookmarkEnd w:id="34"/>
    </w:p>
    <w:p>
      <w:pPr>
        <w:pStyle w:val="FirstParagraph"/>
      </w:pPr>
      <w:r>
        <w:rPr>
          <w:b/>
        </w:rPr>
        <w:t xml:space="preserve">2024 Status:</w:t>
      </w:r>
      <w:r>
        <w:t xml:space="preserve"> </w:t>
      </w:r>
      <w:r>
        <w:t xml:space="preserve">- Cumulative impact since 2004: 3.74 AF</w:t>
      </w:r>
      <w:r>
        <w:t xml:space="preserve"> </w:t>
      </w:r>
      <w:r>
        <w:t xml:space="preserve">- Annual increment: 0.20 AF</w:t>
      </w:r>
    </w:p>
    <w:p>
      <w:pPr>
        <w:pStyle w:val="BodyText"/>
      </w:pPr>
      <w:r>
        <w:rPr>
          <w:b/>
        </w:rPr>
        <w:t xml:space="preserve">Context:</w:t>
      </w:r>
      <w:r>
        <w:t xml:space="preserve"> </w:t>
      </w:r>
      <w:r>
        <w:t xml:space="preserve">- La Cienega Springs lies ~15 km south of Buckman Wellfield</w:t>
      </w:r>
      <w:r>
        <w:t xml:space="preserve"> </w:t>
      </w:r>
      <w:r>
        <w:t xml:space="preserve">- Spring depletion impacts began to be calculated in 2005 (Barroll &amp; Keyes)</w:t>
      </w:r>
      <w:r>
        <w:t xml:space="preserve"> </w:t>
      </w:r>
      <w:r>
        <w:t xml:space="preserve">- Impacts are small due to distance and hydrogeologic setting</w:t>
      </w:r>
      <w:r>
        <w:t xml:space="preserve"> </w:t>
      </w:r>
      <w:r>
        <w:t xml:space="preserve">- Values represent cumulative effects, not annual flow reduction</w:t>
      </w:r>
    </w:p>
    <w:p>
      <w:pPr>
        <w:pStyle w:val="Heading2"/>
      </w:pPr>
      <w:bookmarkStart w:id="35" w:name="assumptions-and-limitations"/>
      <w:r>
        <w:t xml:space="preserve">8. Assumptions and Limitations</w:t>
      </w:r>
      <w:bookmarkEnd w:id="35"/>
    </w:p>
    <w:p>
      <w:pPr>
        <w:pStyle w:val="Heading3"/>
      </w:pPr>
      <w:bookmarkStart w:id="36" w:name="modflow96-superposition-model"/>
      <w:r>
        <w:t xml:space="preserve">MODFLOW96 Superposition Model</w:t>
      </w:r>
      <w:bookmarkEnd w:id="36"/>
    </w:p>
    <w:p>
      <w:pPr>
        <w:numPr>
          <w:ilvl w:val="0"/>
          <w:numId w:val="1006"/>
        </w:numPr>
        <w:pStyle w:val="Compact"/>
      </w:pPr>
      <w:r>
        <w:t xml:space="preserve">Linear superposition assumes aquifer response is proportional to pumping</w:t>
      </w:r>
    </w:p>
    <w:p>
      <w:pPr>
        <w:numPr>
          <w:ilvl w:val="0"/>
          <w:numId w:val="1006"/>
        </w:numPr>
        <w:pStyle w:val="Compact"/>
      </w:pPr>
      <w:r>
        <w:t xml:space="preserve">Model domain covers Santa Fe basin; boundary conditions fixed</w:t>
      </w:r>
    </w:p>
    <w:p>
      <w:pPr>
        <w:numPr>
          <w:ilvl w:val="0"/>
          <w:numId w:val="1006"/>
        </w:numPr>
        <w:pStyle w:val="Compact"/>
      </w:pPr>
      <w:r>
        <w:t xml:space="preserve">Calibrated to 2003 aquifer test data</w:t>
      </w:r>
    </w:p>
    <w:p>
      <w:pPr>
        <w:pStyle w:val="Heading3"/>
      </w:pPr>
      <w:bookmarkStart w:id="37" w:name="X347eb1f531eb2aa218878b229a015b739665874"/>
      <w:r>
        <w:t xml:space="preserve">Pre-1988 Pumping (Core 2003 Analytical Residuals)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Buckman wellfield pumping began in 1972</w:t>
      </w:r>
    </w:p>
    <w:p>
      <w:pPr>
        <w:numPr>
          <w:ilvl w:val="0"/>
          <w:numId w:val="1007"/>
        </w:numPr>
        <w:pStyle w:val="Compact"/>
      </w:pPr>
      <w:r>
        <w:t xml:space="preserve">MODFLOW superposition only simulates 1988-present</w:t>
      </w:r>
    </w:p>
    <w:p>
      <w:pPr>
        <w:numPr>
          <w:ilvl w:val="0"/>
          <w:numId w:val="1007"/>
        </w:numPr>
        <w:pStyle w:val="Compact"/>
      </w:pPr>
      <w:r>
        <w:t xml:space="preserve">Core 2003 extended Spinks 1988 projections through 2050</w:t>
      </w:r>
    </w:p>
    <w:p>
      <w:pPr>
        <w:numPr>
          <w:ilvl w:val="0"/>
          <w:numId w:val="1007"/>
        </w:numPr>
        <w:pStyle w:val="Compact"/>
      </w:pPr>
      <w:r>
        <w:t xml:space="preserve">Pojoaque residual exhausted in 2015; Tesuque continues</w:t>
      </w:r>
    </w:p>
    <w:p>
      <w:pPr>
        <w:pStyle w:val="Heading3"/>
      </w:pPr>
      <w:bookmarkStart w:id="38" w:name="la-cienega-springs"/>
      <w:r>
        <w:t xml:space="preserve">La Cienega Springs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GHB representation added in 2005 (Barroll &amp; Keyes)</w:t>
      </w:r>
    </w:p>
    <w:p>
      <w:pPr>
        <w:numPr>
          <w:ilvl w:val="0"/>
          <w:numId w:val="1008"/>
        </w:numPr>
        <w:pStyle w:val="Compact"/>
      </w:pPr>
      <w:r>
        <w:t xml:space="preserve">Prior to 2005: specified flux boundary (no explicit depletion calc)</w:t>
      </w:r>
    </w:p>
    <w:p>
      <w:pPr>
        <w:numPr>
          <w:ilvl w:val="0"/>
          <w:numId w:val="1008"/>
        </w:numPr>
        <w:pStyle w:val="Compact"/>
      </w:pPr>
      <w:r>
        <w:t xml:space="preserve">Cumulative values reported, not annual reductions</w:t>
      </w:r>
    </w:p>
    <w:p>
      <w:pPr>
        <w:pStyle w:val="Heading3"/>
      </w:pPr>
      <w:bookmarkStart w:id="39" w:name="model-limitations"/>
      <w:r>
        <w:t xml:space="preserve">Model Limitations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Steady-state aquifer assumption (no transient storage)</w:t>
      </w:r>
    </w:p>
    <w:p>
      <w:pPr>
        <w:numPr>
          <w:ilvl w:val="0"/>
          <w:numId w:val="1009"/>
        </w:numPr>
        <w:pStyle w:val="Compact"/>
      </w:pPr>
      <w:r>
        <w:t xml:space="preserve">No climate/recharge variability modeled</w:t>
      </w:r>
    </w:p>
    <w:p>
      <w:pPr>
        <w:numPr>
          <w:ilvl w:val="0"/>
          <w:numId w:val="1009"/>
        </w:numPr>
        <w:pStyle w:val="Compact"/>
      </w:pPr>
      <w:r>
        <w:t xml:space="preserve">Stream-aquifer interaction simplified</w:t>
      </w:r>
    </w:p>
    <w:p>
      <w:pPr>
        <w:numPr>
          <w:ilvl w:val="0"/>
          <w:numId w:val="1009"/>
        </w:numPr>
        <w:pStyle w:val="Compact"/>
      </w:pPr>
      <w:r>
        <w:t xml:space="preserve">Cell-based discretization limits spatial resolution</w:t>
      </w:r>
    </w:p>
    <w:p>
      <w:pPr>
        <w:pStyle w:val="Heading2"/>
      </w:pPr>
      <w:bookmarkStart w:id="40" w:name="approval-block"/>
      <w:r>
        <w:t xml:space="preserve">9. Approval Block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Signature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Prepared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Reviewed by</w:t>
            </w:r>
          </w:p>
        </w:tc>
        <w:tc>
          <w:p/>
        </w:tc>
        <w:tc>
          <w:p/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Approved by</w:t>
            </w:r>
          </w:p>
        </w:tc>
        <w:tc>
          <w:p/>
        </w:tc>
        <w:tc>
          <w:p/>
        </w:tc>
        <w:tc>
          <w:p/>
        </w:tc>
      </w:tr>
    </w:tbl>
    <w:p>
      <w:pPr>
        <w:pStyle w:val="BodyText"/>
      </w:pPr>
      <w:r>
        <w:t xml:space="preserve">========================================================================</w:t>
      </w:r>
      <w:r>
        <w:t xml:space="preserve"> </w:t>
      </w:r>
      <w:r>
        <w:t xml:space="preserve">END OF WORKFLOW LOG</w:t>
      </w:r>
      <w:r>
        <w:t xml:space="preserve"> </w:t>
      </w:r>
      <w:r>
        <w:t xml:space="preserve">========================================================================</w:t>
      </w:r>
    </w:p>
    <w:p>
      <w:pPr>
        <w:pStyle w:val="BodyText"/>
      </w:pPr>
      <w:r>
        <w:rPr>
          <w:i/>
        </w:rPr>
        <w:t xml:space="preserve">Generated: 2026-02-19 11:55:42</w:t>
      </w:r>
      <w:r>
        <w:t xml:space="preserve"> </w:t>
      </w:r>
      <w:r>
        <w:rPr>
          <w:i/>
        </w:rPr>
        <w:t xml:space="preserve">Git: a5bf7f9819c4 (master)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2026-02-19T18:55:42Z</dcterms:created>
  <dcterms:modified xsi:type="dcterms:W3CDTF">2026-02-19T18:55:42Z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