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7107a4add93bc6fcac22978fa539d9b273ada9"/>
      <w:r>
        <w:t xml:space="preserve">Methodology: Tables 3, 4, and 5 (Stream Depletion Calculations)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Tables 3, 4, and 5 report stream depletion impacts from Buckman wellfield pumping. These tables are generated from the MODFLOW96 superposition model post-processor output, with additional analytical residuals applied for tributary streams.</w:t>
      </w:r>
    </w:p>
    <w:p>
      <w:pPr>
        <w:pStyle w:val="BodyText"/>
      </w:pPr>
      <w:r>
        <w:rPr>
          <w:b/>
        </w:rPr>
        <w:t xml:space="preserve">Generated by:</w:t>
      </w:r>
      <w:r>
        <w:t xml:space="preserve"> </w:t>
      </w:r>
      <w:r>
        <w:rPr>
          <w:rStyle w:val="VerbatimChar"/>
        </w:rPr>
        <w:t xml:space="preserve">generate_depletion_tables.py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stream_depletions.py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ta-sources"/>
      <w:r>
        <w:t xml:space="preserve">Data Sources</w:t>
      </w:r>
      <w:bookmarkEnd w:id="22"/>
    </w:p>
    <w:p>
      <w:pPr>
        <w:pStyle w:val="Heading3"/>
      </w:pPr>
      <w:bookmarkStart w:id="23" w:name="Xdf1beb4667991ce7fa7357d3b30f1513cc74b52"/>
      <w:r>
        <w:t xml:space="preserve">Primary Source: MODFLOW Post-processor Output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output/modflow/YYYY/depletions/CYYYYY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Generated by:</w:t>
      </w:r>
      <w:r>
        <w:t xml:space="preserve"> </w:t>
      </w:r>
      <w:r>
        <w:rPr>
          <w:rStyle w:val="VerbatimChar"/>
        </w:rPr>
        <w:t xml:space="preserve">sfmodflx_2245.exe</w:t>
      </w:r>
      <w:r>
        <w:t xml:space="preserve"> </w:t>
      </w:r>
      <w:r>
        <w:t xml:space="preserve">post-processor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Input files: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CYYYYY_ghb.flx</w:t>
      </w:r>
      <w:r>
        <w:t xml:space="preserve"> </w:t>
      </w:r>
      <w:r>
        <w:t xml:space="preserve">(General Head Boundary flux)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CYYYYY_riv.flx</w:t>
      </w:r>
      <w:r>
        <w:t xml:space="preserve"> </w:t>
      </w:r>
      <w:r>
        <w:t xml:space="preserve">(River flux)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CFS (cubic feet per second), monthly averages</w:t>
      </w:r>
    </w:p>
    <w:p>
      <w:pPr>
        <w:pStyle w:val="Heading3"/>
      </w:pPr>
      <w:bookmarkStart w:id="24" w:name="X7f5e59d6d4b8b43fe7a123e74c8558a5156ff98"/>
      <w:r>
        <w:t xml:space="preserve">Secondary Source: Analytical Residuals (Table 3 only)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Spinks 1988:</w:t>
      </w:r>
      <w:r>
        <w:t xml:space="preserve"> </w:t>
      </w:r>
      <w:r>
        <w:t xml:space="preserve">Original</w:t>
      </w:r>
      <w:r>
        <w:t xml:space="preserve"> </w:t>
      </w:r>
      <w:r>
        <w:t xml:space="preserve">“</w:t>
      </w:r>
      <w:r>
        <w:t xml:space="preserve">triangular model</w:t>
      </w:r>
      <w:r>
        <w:t xml:space="preserve">”</w:t>
      </w:r>
      <w:r>
        <w:t xml:space="preserve"> </w:t>
      </w:r>
      <w:r>
        <w:t xml:space="preserve">for 1972-1987 pumping effects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Core 2003:</w:t>
      </w:r>
      <w:r>
        <w:t xml:space="preserve"> </w:t>
      </w:r>
      <w:r>
        <w:t xml:space="preserve">Extended Spinks projections through 2050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able-3-rio-pojoaque-nambe-rio-tesuque"/>
      <w:r>
        <w:t xml:space="preserve">Table 3: Rio Pojoaque-Nambe &amp; Rio Tesuque</w:t>
      </w:r>
      <w:bookmarkEnd w:id="25"/>
    </w:p>
    <w:p>
      <w:pPr>
        <w:pStyle w:val="Heading3"/>
      </w:pPr>
      <w:bookmarkStart w:id="26" w:name="purpose"/>
      <w:r>
        <w:t xml:space="preserve">Purpose</w:t>
      </w:r>
      <w:bookmarkEnd w:id="26"/>
    </w:p>
    <w:p>
      <w:pPr>
        <w:pStyle w:val="FirstParagraph"/>
      </w:pPr>
      <w:r>
        <w:t xml:space="preserve">Reports annual stream depletion impacts to the Rio Pojoaque-Nambe and Rio Tesuque tributaries.</w:t>
      </w:r>
    </w:p>
    <w:p>
      <w:pPr>
        <w:pStyle w:val="Heading3"/>
      </w:pPr>
      <w:bookmarkStart w:id="27" w:name="two-components-required"/>
      <w:r>
        <w:t xml:space="preserve">Two Components Required</w:t>
      </w:r>
      <w:bookmarkEnd w:id="27"/>
    </w:p>
    <w:p>
      <w:pPr>
        <w:pStyle w:val="FirstParagraph"/>
      </w:pPr>
      <w:r>
        <w:t xml:space="preserve">The MODFLOW superposition model only simulates pumping from 1988 onward. However, Buckman wellfield pumping began in 1972. The effects of 1972-1987 pumping continue to propagate through the aquifer system and must be accounted for separately.</w:t>
      </w:r>
    </w:p>
    <w:p>
      <w:pPr>
        <w:pStyle w:val="BodyText"/>
      </w:pPr>
      <w:r>
        <w:rPr>
          <w:b/>
        </w:rPr>
        <w:t xml:space="preserve">Component 1: Analytical Residual (Pre-1988 Pumping Effects)</w:t>
      </w:r>
      <w:r>
        <w:t xml:space="preserve"> </w:t>
      </w:r>
      <w:r>
        <w:t xml:space="preserve">- Source: Spinks 1988, extended by Core 2003</w:t>
      </w:r>
      <w:r>
        <w:t xml:space="preserve"> </w:t>
      </w:r>
      <w:r>
        <w:t xml:space="preserve">- Represents the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of stream depletion from 1972-1987 pumping</w:t>
      </w:r>
      <w:r>
        <w:t xml:space="preserve"> </w:t>
      </w:r>
      <w:r>
        <w:t xml:space="preserve">- Decreases over time as effects dissipate</w:t>
      </w:r>
    </w:p>
    <w:p>
      <w:pPr>
        <w:pStyle w:val="BodyText"/>
      </w:pPr>
      <w:r>
        <w:rPr>
          <w:b/>
        </w:rPr>
        <w:t xml:space="preserve">Component 2: MODFLOW Superposition (1988-Present Pumping Effects)</w:t>
      </w:r>
      <w:r>
        <w:t xml:space="preserve"> </w:t>
      </w:r>
      <w:r>
        <w:t xml:space="preserve">- Source: Post-processor</w:t>
      </w:r>
      <w:r>
        <w:t xml:space="preserve"> </w:t>
      </w:r>
      <w:r>
        <w:t xml:space="preserve">“</w:t>
      </w:r>
      <w:r>
        <w:t xml:space="preserve">R POJOAQUE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 TESUQUE</w:t>
      </w:r>
      <w:r>
        <w:t xml:space="preserve">”</w:t>
      </w:r>
      <w:r>
        <w:t xml:space="preserve"> </w:t>
      </w:r>
      <w:r>
        <w:t xml:space="preserve">stream totals</w:t>
      </w:r>
      <w:r>
        <w:t xml:space="preserve"> </w:t>
      </w:r>
      <w:r>
        <w:t xml:space="preserve">- Monthly CFS values converted to annual acre-feet</w:t>
      </w:r>
    </w:p>
    <w:p>
      <w:pPr>
        <w:pStyle w:val="Heading3"/>
      </w:pPr>
      <w:bookmarkStart w:id="28" w:name="formula"/>
      <w:r>
        <w:t xml:space="preserve">Formula</w:t>
      </w:r>
      <w:bookmarkEnd w:id="28"/>
    </w:p>
    <w:p>
      <w:pPr>
        <w:pStyle w:val="SourceCode"/>
      </w:pPr>
      <w:r>
        <w:rPr>
          <w:rStyle w:val="VerbatimChar"/>
        </w:rPr>
        <w:t xml:space="preserve">Total Impact = Analytical Residual + MODFLOW Superposition</w:t>
      </w:r>
    </w:p>
    <w:p>
      <w:pPr>
        <w:pStyle w:val="Heading3"/>
      </w:pPr>
      <w:bookmarkStart w:id="29" w:name="pojoaque-residual-values"/>
      <w:r>
        <w:t xml:space="preserve">Pojoaque Residual Values</w:t>
      </w:r>
      <w:bookmarkEnd w:id="29"/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stream_depletions.py:85-93</w:t>
      </w:r>
      <w:r>
        <w:t xml:space="preserve"> </w:t>
      </w:r>
      <w:r>
        <w:t xml:space="preserve">(CORE_2003_POJOAQUE dictionary):</w:t>
      </w:r>
      <w:r>
        <w:t xml:space="preserve"> </w:t>
      </w:r>
      <w:r>
        <w:t xml:space="preserve">- 1988: 40.432 AF</w:t>
      </w:r>
      <w:r>
        <w:t xml:space="preserve"> </w:t>
      </w:r>
      <w:r>
        <w:t xml:space="preserve">- Decreasing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2015: 0.316 AF (last non-zero value)</w:t>
      </w:r>
      <w:r>
        <w:t xml:space="preserve"> </w:t>
      </w:r>
      <w:r>
        <w:t xml:space="preserve">- 2016 onward: 0 AF (residual exhausted)</w:t>
      </w:r>
    </w:p>
    <w:p>
      <w:pPr>
        <w:pStyle w:val="Heading3"/>
      </w:pPr>
      <w:bookmarkStart w:id="30" w:name="tesuque-residual-values"/>
      <w:r>
        <w:t xml:space="preserve">Tesuque Residual Values</w:t>
      </w:r>
      <w:bookmarkEnd w:id="30"/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stream_depletions.py:97-107</w:t>
      </w:r>
      <w:r>
        <w:t xml:space="preserve"> </w:t>
      </w:r>
      <w:r>
        <w:t xml:space="preserve">(CORE_2003_TESUQUE dictionary):</w:t>
      </w:r>
      <w:r>
        <w:t xml:space="preserve"> </w:t>
      </w:r>
      <w:r>
        <w:t xml:space="preserve">- 1988: 21.015 AF</w:t>
      </w:r>
      <w:r>
        <w:t xml:space="preserve"> </w:t>
      </w:r>
      <w:r>
        <w:t xml:space="preserve">- Follows linear regression: y = -0.4908 × year + 1006.2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2024: 12.877 AF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2025: 12.387 AF</w:t>
      </w:r>
      <w:r>
        <w:t xml:space="preserve"> </w:t>
      </w:r>
      <w:r>
        <w:t xml:space="preserve">- Continues through approximately 2050</w:t>
      </w:r>
    </w:p>
    <w:p>
      <w:pPr>
        <w:pStyle w:val="Heading3"/>
      </w:pPr>
      <w:bookmarkStart w:id="31" w:name="example-2024-calculation"/>
      <w:r>
        <w:t xml:space="preserve">Example: 2024 Calculation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Residual (AF)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Superposition (AF)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(AF)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Pojoaque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60.797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60.797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Tesuque</w:t>
            </w:r>
          </w:p>
        </w:tc>
        <w:tc>
          <w:p>
            <w:pPr>
              <w:pStyle w:val="Compact"/>
              <w:jc w:val="left"/>
            </w:pPr>
            <w:r>
              <w:t xml:space="preserve">12.877</w:t>
            </w:r>
          </w:p>
        </w:tc>
        <w:tc>
          <w:p>
            <w:pPr>
              <w:pStyle w:val="Compact"/>
              <w:jc w:val="left"/>
            </w:pPr>
            <w:r>
              <w:t xml:space="preserve">20.706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33.583</w:t>
            </w:r>
          </w:p>
        </w:tc>
      </w:tr>
    </w:tbl>
    <w:p>
      <w:pPr>
        <w:pStyle w:val="Heading3"/>
      </w:pPr>
      <w:bookmarkStart w:id="32" w:name="historical-context"/>
      <w:r>
        <w:t xml:space="preserve">Historical Context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Spinks 1988:</w:t>
      </w:r>
      <w:r>
        <w:t xml:space="preserve"> </w:t>
      </w:r>
      <w:r>
        <w:t xml:space="preserve">SEO memo dated June 1, 1988, created the original</w:t>
      </w:r>
      <w:r>
        <w:t xml:space="preserve"> </w:t>
      </w:r>
      <w:r>
        <w:t xml:space="preserve">“</w:t>
      </w:r>
      <w:r>
        <w:t xml:space="preserve">triangular model</w:t>
      </w:r>
      <w:r>
        <w:t xml:space="preserve">”</w:t>
      </w:r>
      <w:r>
        <w:t xml:space="preserve"> </w:t>
      </w:r>
      <w:r>
        <w:t xml:space="preserve">projecting depletion effects through 2010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Core 2003:</w:t>
      </w:r>
      <w:r>
        <w:t xml:space="preserve"> </w:t>
      </w:r>
      <w:r>
        <w:t xml:space="preserve">Extended Spinks projections using linear regression to estimate when residual effects would reach zero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able-4-rio-grande-above-and-below-otowi"/>
      <w:r>
        <w:t xml:space="preserve">Table 4: Rio Grande Above and Below Otowi</w:t>
      </w:r>
      <w:bookmarkEnd w:id="33"/>
    </w:p>
    <w:p>
      <w:pPr>
        <w:pStyle w:val="Heading3"/>
      </w:pPr>
      <w:bookmarkStart w:id="34" w:name="purpose-1"/>
      <w:r>
        <w:t xml:space="preserve">Purpose</w:t>
      </w:r>
      <w:bookmarkEnd w:id="34"/>
    </w:p>
    <w:p>
      <w:pPr>
        <w:pStyle w:val="FirstParagraph"/>
      </w:pPr>
      <w:r>
        <w:t xml:space="preserve">Reports annual stream depletion impacts to the Rio Grande, separated into regions above and below the Otowi gauge.</w:t>
      </w:r>
    </w:p>
    <w:p>
      <w:pPr>
        <w:pStyle w:val="Heading3"/>
      </w:pPr>
      <w:bookmarkStart w:id="35" w:name="single-component-only"/>
      <w:r>
        <w:t xml:space="preserve">Single Component Only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MODFLOW superposition only</w:t>
      </w:r>
      <w:r>
        <w:t xml:space="preserve"> </w:t>
      </w:r>
      <w:r>
        <w:t xml:space="preserve">- no analytical residuals required</w:t>
      </w:r>
    </w:p>
    <w:p>
      <w:pPr>
        <w:numPr>
          <w:ilvl w:val="0"/>
          <w:numId w:val="1005"/>
        </w:numPr>
        <w:pStyle w:val="Compact"/>
      </w:pPr>
      <w:r>
        <w:t xml:space="preserve">The Rio Grande was not included in the Spinks/Core analytical models</w:t>
      </w:r>
    </w:p>
    <w:p>
      <w:pPr>
        <w:pStyle w:val="Heading3"/>
      </w:pPr>
      <w:bookmarkStart w:id="36" w:name="otowi-cell-definitions"/>
      <w:r>
        <w:t xml:space="preserve">Otowi Cell Definitions</w:t>
      </w:r>
      <w:bookmarkEnd w:id="36"/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stream_depletions.py</w:t>
      </w:r>
      <w:r>
        <w:t xml:space="preserve">:</w:t>
      </w:r>
    </w:p>
    <w:p>
      <w:pPr>
        <w:pStyle w:val="BodyText"/>
      </w:pPr>
      <w:r>
        <w:rPr>
          <w:b/>
        </w:rPr>
        <w:t xml:space="preserve">Above Otowi (10 cells):</w:t>
      </w:r>
    </w:p>
    <w:p>
      <w:pPr>
        <w:pStyle w:val="SourceCode"/>
      </w:pPr>
      <w:r>
        <w:rPr>
          <w:rStyle w:val="VerbatimChar"/>
        </w:rPr>
        <w:t xml:space="preserve">1 1 16, 1 2 16, 1 3 16, 1 4 16, 1 5 15,</w:t>
      </w:r>
      <w:r>
        <w:br/>
      </w:r>
      <w:r>
        <w:rPr>
          <w:rStyle w:val="VerbatimChar"/>
        </w:rPr>
        <w:t xml:space="preserve">1 6 14, 1 7 14, 1 8 13, 1 9 13, 1 10 12</w:t>
      </w:r>
    </w:p>
    <w:p>
      <w:pPr>
        <w:pStyle w:val="FirstParagraph"/>
      </w:pPr>
      <w:r>
        <w:rPr>
          <w:b/>
        </w:rPr>
        <w:t xml:space="preserve">Below Otowi (16 cells):</w:t>
      </w:r>
    </w:p>
    <w:p>
      <w:pPr>
        <w:pStyle w:val="SourceCode"/>
      </w:pPr>
      <w:r>
        <w:rPr>
          <w:rStyle w:val="VerbatimChar"/>
        </w:rPr>
        <w:t xml:space="preserve">1 11 11, 1 12 11, 1 13 11, 1 14 10, 1 15 9,</w:t>
      </w:r>
      <w:r>
        <w:br/>
      </w:r>
      <w:r>
        <w:rPr>
          <w:rStyle w:val="VerbatimChar"/>
        </w:rPr>
        <w:t xml:space="preserve">1 15 10, 1 16 9, 1 17 8, 1 18 6, 1 18 7,</w:t>
      </w:r>
      <w:r>
        <w:br/>
      </w:r>
      <w:r>
        <w:rPr>
          <w:rStyle w:val="VerbatimChar"/>
        </w:rPr>
        <w:t xml:space="preserve">1 19 6, 1 20 5, 1 21 4, 1 21 5, 1 22 4, 1 23 3</w:t>
      </w:r>
    </w:p>
    <w:p>
      <w:pPr>
        <w:pStyle w:val="Heading3"/>
      </w:pPr>
      <w:bookmarkStart w:id="37" w:name="calculation"/>
      <w:r>
        <w:t xml:space="preserve">Calculation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Sum monthly CFS values for all cells in each group</w:t>
      </w:r>
    </w:p>
    <w:p>
      <w:pPr>
        <w:numPr>
          <w:ilvl w:val="0"/>
          <w:numId w:val="1006"/>
        </w:numPr>
        <w:pStyle w:val="Compact"/>
      </w:pPr>
      <w:r>
        <w:t xml:space="preserve">Convert to annual acre-feet</w:t>
      </w:r>
    </w:p>
    <w:p>
      <w:pPr>
        <w:pStyle w:val="Heading3"/>
      </w:pPr>
      <w:bookmarkStart w:id="38" w:name="example-2024-values"/>
      <w:r>
        <w:t xml:space="preserve">Example: 2024 Values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Depletion (AF)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Above Otowi</w:t>
            </w:r>
          </w:p>
        </w:tc>
        <w:tc>
          <w:p>
            <w:pPr>
              <w:pStyle w:val="Compact"/>
              <w:jc w:val="left"/>
            </w:pPr>
            <w:r>
              <w:t xml:space="preserve">101.43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Below Otowi</w:t>
            </w:r>
          </w:p>
        </w:tc>
        <w:tc>
          <w:p>
            <w:pPr>
              <w:pStyle w:val="Compact"/>
              <w:jc w:val="left"/>
            </w:pPr>
            <w:r>
              <w:t xml:space="preserve">842.95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944.38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able-5-la-cienega-springs"/>
      <w:r>
        <w:t xml:space="preserve">Table 5: La Cienega Springs</w:t>
      </w:r>
      <w:bookmarkEnd w:id="39"/>
    </w:p>
    <w:p>
      <w:pPr>
        <w:pStyle w:val="Heading3"/>
      </w:pPr>
      <w:bookmarkStart w:id="40" w:name="purpose-2"/>
      <w:r>
        <w:t xml:space="preserve">Purpose</w:t>
      </w:r>
      <w:bookmarkEnd w:id="40"/>
    </w:p>
    <w:p>
      <w:pPr>
        <w:pStyle w:val="FirstParagraph"/>
      </w:pPr>
      <w:r>
        <w:t xml:space="preserve">Reports cumulative stream depletion impacts to La Cienega Springs.</w:t>
      </w:r>
    </w:p>
    <w:p>
      <w:pPr>
        <w:pStyle w:val="Heading3"/>
      </w:pPr>
      <w:bookmarkStart w:id="41" w:name="single-component-only-1"/>
      <w:r>
        <w:t xml:space="preserve">Single Component Only</w:t>
      </w:r>
      <w:bookmarkEnd w:id="4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MODFLOW superposition only</w:t>
      </w:r>
      <w:r>
        <w:t xml:space="preserve"> </w:t>
      </w:r>
      <w:r>
        <w:t xml:space="preserve">- no analytical residuals required</w:t>
      </w:r>
    </w:p>
    <w:p>
      <w:pPr>
        <w:pStyle w:val="Heading3"/>
      </w:pPr>
      <w:bookmarkStart w:id="42" w:name="why-no-analytical-residuals"/>
      <w:r>
        <w:t xml:space="preserve">Why No Analytical Residuals?</w:t>
      </w:r>
      <w:bookmarkEnd w:id="42"/>
    </w:p>
    <w:p>
      <w:pPr>
        <w:pStyle w:val="FirstParagraph"/>
      </w:pPr>
      <w:r>
        <w:t xml:space="preserve">La Cienega Springs was not explicitly modeled until 2005. From Barroll &amp; Keyes 2005 (Introduction, p.1):</w:t>
      </w:r>
    </w:p>
    <w:p>
      <w:pPr>
        <w:pStyle w:val="BlockText"/>
      </w:pPr>
      <w:r>
        <w:t xml:space="preserve">“</w:t>
      </w:r>
      <w:r>
        <w:t xml:space="preserve">OSE developed a superposition version of this model in which they added the ability to calculate impacts to La Cienega Springs by replacing what had originally been a specified flux boundary with a generalized head boundary (GHB).</w:t>
      </w:r>
      <w:r>
        <w:t xml:space="preserve">”</w:t>
      </w:r>
    </w:p>
    <w:p>
      <w:pPr>
        <w:pStyle w:val="FirstParagraph"/>
      </w:pPr>
      <w:r>
        <w:t xml:space="preserve">Prior to 2005:</w:t>
      </w:r>
      <w:r>
        <w:t xml:space="preserve"> </w:t>
      </w:r>
      <w:r>
        <w:t xml:space="preserve">- The calibrated MODFLOW model used a specified flux boundary</w:t>
      </w:r>
      <w:r>
        <w:t xml:space="preserve"> </w:t>
      </w:r>
      <w:r>
        <w:t xml:space="preserve">- This approximated spring behavior but did not explicitly calculate depletion impacts</w:t>
      </w:r>
      <w:r>
        <w:t xml:space="preserve"> </w:t>
      </w:r>
      <w:r>
        <w:t xml:space="preserve">- No Spinks/Core analytical model exists for La Cienega Springs</w:t>
      </w:r>
    </w:p>
    <w:p>
      <w:pPr>
        <w:pStyle w:val="BodyText"/>
      </w:pPr>
      <w:r>
        <w:t xml:space="preserve">Explicit depletion calculations begin in 2004.</w:t>
      </w:r>
    </w:p>
    <w:p>
      <w:pPr>
        <w:pStyle w:val="Heading3"/>
      </w:pPr>
      <w:bookmarkStart w:id="43" w:name="X62dc07013d87c15b0f9a40af9f3b543f4dcd171"/>
      <w:r>
        <w:t xml:space="preserve">Key Insight: Values Are Already Cumulative</w:t>
      </w:r>
      <w:bookmarkEnd w:id="43"/>
    </w:p>
    <w:p>
      <w:pPr>
        <w:pStyle w:val="FirstParagraph"/>
      </w:pPr>
      <w:r>
        <w:t xml:space="preserve">The MODFLOW superposition model output at</w:t>
      </w:r>
      <w:r>
        <w:t xml:space="preserve"> </w:t>
      </w:r>
      <w:r>
        <w:t xml:space="preserve">“</w:t>
      </w:r>
      <w:r>
        <w:t xml:space="preserve">LC SPRINGS</w:t>
      </w:r>
      <w:r>
        <w:t xml:space="preserve">”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</w:rPr>
        <w:t xml:space="preserve">total cumulative depletion</w:t>
      </w:r>
      <w:r>
        <w:t xml:space="preserve"> </w:t>
      </w:r>
      <w:r>
        <w:t xml:space="preserve">from all pumping since 1988, not annual depletion.</w:t>
      </w:r>
    </w:p>
    <w:p>
      <w:pPr>
        <w:pStyle w:val="BodyText"/>
      </w:pPr>
      <w:r>
        <w:t xml:space="preserve">This is because superposition sums the effects of all historical pumping stress periods.</w:t>
      </w:r>
    </w:p>
    <w:p>
      <w:pPr>
        <w:pStyle w:val="Heading3"/>
      </w:pPr>
      <w:bookmarkStart w:id="44" w:name="calculation-1"/>
      <w:r>
        <w:t xml:space="preserve">Calculation</w:t>
      </w:r>
      <w:bookmarkEnd w:id="44"/>
    </w:p>
    <w:p>
      <w:pPr>
        <w:pStyle w:val="SourceCode"/>
      </w:pPr>
      <w:r>
        <w:rPr>
          <w:rStyle w:val="VerbatimChar"/>
        </w:rPr>
        <w:t xml:space="preserve">Cumulative_YYYY = Convert LC SPRINGS CFS to AF</w:t>
      </w:r>
      <w:r>
        <w:br/>
      </w:r>
      <w:r>
        <w:rPr>
          <w:rStyle w:val="VerbatimChar"/>
        </w:rPr>
        <w:t xml:space="preserve">Annual_YYYY = Cumulative_YYYY - Cumulative_(YYYY-1)</w:t>
      </w:r>
    </w:p>
    <w:p>
      <w:pPr>
        <w:pStyle w:val="Heading3"/>
      </w:pPr>
      <w:bookmarkStart w:id="45" w:name="example-2024-values-1"/>
      <w:r>
        <w:t xml:space="preserve">Example: 2024 Values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(AF)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 Cumulative (2023)</w:t>
            </w:r>
          </w:p>
        </w:tc>
        <w:tc>
          <w:p>
            <w:pPr>
              <w:pStyle w:val="Compact"/>
              <w:jc w:val="left"/>
            </w:pPr>
            <w:r>
              <w:t xml:space="preserve">3.54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Current Cumulative (2024)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Increment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</w:tr>
    </w:tbl>
    <w:p>
      <w:pPr>
        <w:pStyle w:val="Heading3"/>
      </w:pPr>
      <w:bookmarkStart w:id="46" w:name="historical-cumulative-values"/>
      <w:r>
        <w:t xml:space="preserve">Historical Cumulative Values</w:t>
      </w:r>
      <w:bookmarkEnd w:id="46"/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stream_depletions.py:48-76</w:t>
      </w:r>
      <w:r>
        <w:t xml:space="preserve"> </w:t>
      </w:r>
      <w:r>
        <w:t xml:space="preserve">(LA_CIENEGA_CUMULATIVE dictionary):</w:t>
      </w:r>
      <w:r>
        <w:t xml:space="preserve"> </w:t>
      </w:r>
      <w:r>
        <w:t xml:space="preserve">| Year | Cumulative AF | Year | Cumulative AF |</w:t>
      </w:r>
      <w:r>
        <w:t xml:space="preserve"> </w:t>
      </w:r>
      <w:r>
        <w:t xml:space="preserve">|——|—————|——|—————|</w:t>
      </w:r>
      <w:r>
        <w:t xml:space="preserve"> </w:t>
      </w:r>
      <w:r>
        <w:t xml:space="preserve">| 2004 | 0.45 | 2018 | 2.75 |</w:t>
      </w:r>
      <w:r>
        <w:t xml:space="preserve"> </w:t>
      </w:r>
      <w:r>
        <w:t xml:space="preserve">| 2005 | 0.66 | 2019 | 2.90 |</w:t>
      </w:r>
      <w:r>
        <w:t xml:space="preserve"> </w:t>
      </w:r>
      <w:r>
        <w:t xml:space="preserve">| 2006 | 0.83 | 2020 | 3.06 |</w:t>
      </w:r>
      <w:r>
        <w:t xml:space="preserve"> </w:t>
      </w:r>
      <w:r>
        <w:t xml:space="preserve">| 2007 | 0.99 | 2021 | 3.21 |</w:t>
      </w:r>
      <w:r>
        <w:t xml:space="preserve"> </w:t>
      </w:r>
      <w:r>
        <w:t xml:space="preserve">| 2008 | 1.16 | 2022 | 3.37 |</w:t>
      </w:r>
      <w:r>
        <w:t xml:space="preserve"> </w:t>
      </w:r>
      <w:r>
        <w:t xml:space="preserve">| 2009 | 1.32 | 2023 | 3.54 |</w:t>
      </w:r>
      <w:r>
        <w:t xml:space="preserve"> </w:t>
      </w:r>
      <w:r>
        <w:t xml:space="preserve">| 2010 | 1.49 |</w:t>
      </w:r>
      <w:r>
        <w:t xml:space="preserve"> </w:t>
      </w:r>
      <w:r>
        <w:rPr>
          <w:b/>
        </w:rPr>
        <w:t xml:space="preserve">2024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3.74</w:t>
      </w:r>
      <w:r>
        <w:t xml:space="preserve"> </w:t>
      </w:r>
      <w:r>
        <w:t xml:space="preserve">|</w:t>
      </w:r>
      <w:r>
        <w:t xml:space="preserve"> </w:t>
      </w:r>
      <w:r>
        <w:t xml:space="preserve">| 2011 | 1.65 | 2025 | 3.92 |</w:t>
      </w:r>
      <w:r>
        <w:t xml:space="preserve"> </w:t>
      </w:r>
      <w:r>
        <w:t xml:space="preserve">| 2012 | 1.82 | 2026 | 4.10 |</w:t>
      </w:r>
      <w:r>
        <w:t xml:space="preserve"> </w:t>
      </w:r>
      <w:r>
        <w:t xml:space="preserve">| 2013 | 1.97 | 2027 | 4.27 |</w:t>
      </w:r>
      <w:r>
        <w:t xml:space="preserve"> </w:t>
      </w:r>
      <w:r>
        <w:t xml:space="preserve">| 2014 | 2.13 | 2028 | 4.46 |</w:t>
      </w:r>
      <w:r>
        <w:t xml:space="preserve"> </w:t>
      </w:r>
      <w:r>
        <w:t xml:space="preserve">| 2015 | 2.29 | 2029 | 4.62 |</w:t>
      </w:r>
      <w:r>
        <w:t xml:space="preserve"> </w:t>
      </w:r>
      <w:r>
        <w:t xml:space="preserve">| 2016 | 2.45 | 2030 | 4.80 |</w:t>
      </w:r>
      <w:r>
        <w:t xml:space="preserve"> </w:t>
      </w:r>
      <w:r>
        <w:t xml:space="preserve">| 2017 | 2.60 | |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unit-conversion"/>
      <w:r>
        <w:t xml:space="preserve">Unit Conversion</w:t>
      </w:r>
      <w:bookmarkEnd w:id="47"/>
    </w:p>
    <w:p>
      <w:pPr>
        <w:pStyle w:val="Heading3"/>
      </w:pPr>
      <w:bookmarkStart w:id="48" w:name="cfs-to-acre-feet"/>
      <w:r>
        <w:t xml:space="preserve">CFS to Acre-Feet</w:t>
      </w:r>
      <w:bookmarkEnd w:id="48"/>
    </w:p>
    <w:p>
      <w:pPr>
        <w:pStyle w:val="SourceCode"/>
      </w:pPr>
      <w:r>
        <w:rPr>
          <w:rStyle w:val="VerbatimChar"/>
        </w:rPr>
        <w:t xml:space="preserve">AF = CFS × days_in_month × 1.9835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CFS = average flow rate for the month (cubic feet per second)</w:t>
      </w:r>
      <w:r>
        <w:t xml:space="preserve"> </w:t>
      </w:r>
      <w:r>
        <w:t xml:space="preserve">- days_in_month = number of days in that month</w:t>
      </w:r>
      <w:r>
        <w:t xml:space="preserve"> </w:t>
      </w:r>
      <w:r>
        <w:t xml:space="preserve">- 1.9835 = conversion factor (cfs-day to acre-feet)</w:t>
      </w:r>
    </w:p>
    <w:p>
      <w:pPr>
        <w:pStyle w:val="BodyText"/>
      </w:pPr>
      <w:r>
        <w:t xml:space="preserve">Annual total = sum of all 12 monthly values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ource-documents"/>
      <w:r>
        <w:t xml:space="preserve">Source Documents</w:t>
      </w:r>
      <w:bookmarkEnd w:id="49"/>
    </w:p>
    <w:tbl>
      <w:tblPr>
        <w:tblStyle w:val="Table"/>
        <w:tblW w:type="pct" w:w="5000.0"/>
        <w:tblLook w:firstRow="1"/>
      </w:tblPr>
      <w:tblGrid>
        <w:gridCol w:w="3168"/>
        <w:gridCol w:w="1900"/>
        <w:gridCol w:w="2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Spinks 1988</w:t>
            </w:r>
          </w:p>
        </w:tc>
        <w:tc>
          <w:p>
            <w:pPr>
              <w:pStyle w:val="Compact"/>
              <w:jc w:val="left"/>
            </w:pPr>
            <w:r>
              <w:t xml:space="preserve">June 1, 1988</w:t>
            </w:r>
          </w:p>
        </w:tc>
        <w:tc>
          <w:p>
            <w:pPr>
              <w:pStyle w:val="Compact"/>
              <w:jc w:val="left"/>
            </w:pPr>
            <w:r>
              <w:t xml:space="preserve">Original analytical model for 1972-1987 pumping effects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2003</w:t>
            </w:r>
          </w:p>
        </w:tc>
        <w:tc>
          <w:p>
            <w:pPr>
              <w:pStyle w:val="Compact"/>
              <w:jc w:val="left"/>
            </w:pPr>
            <w:r>
              <w:t xml:space="preserve">April 30, 2003</w:t>
            </w:r>
          </w:p>
        </w:tc>
        <w:tc>
          <w:p>
            <w:pPr>
              <w:pStyle w:val="Compact"/>
              <w:jc w:val="left"/>
            </w:pPr>
            <w:r>
              <w:t xml:space="preserve">Extended Spinks projections through 2050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Barroll &amp; Keyes 2005</w:t>
            </w:r>
          </w:p>
        </w:tc>
        <w:tc>
          <w:p>
            <w:pPr>
              <w:pStyle w:val="Compact"/>
              <w:jc w:val="left"/>
            </w:pPr>
            <w:r>
              <w:t xml:space="preserve">Nov 29, 2005</w:t>
            </w:r>
          </w:p>
        </w:tc>
        <w:tc>
          <w:p>
            <w:pPr>
              <w:pStyle w:val="Compact"/>
              <w:jc w:val="left"/>
            </w:pPr>
            <w:r>
              <w:t xml:space="preserve">Added La Cienega Springs GHB to superposition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MSC_2025_002</w:t>
            </w:r>
          </w:p>
        </w:tc>
        <w:tc>
          <w:p>
            <w:pPr>
              <w:pStyle w:val="Compact"/>
              <w:jc w:val="left"/>
            </w:pPr>
            <w:r>
              <w:t xml:space="preserve">June 17, 2025</w:t>
            </w:r>
          </w:p>
        </w:tc>
        <w:tc>
          <w:p>
            <w:pPr>
              <w:pStyle w:val="Compact"/>
              <w:jc w:val="left"/>
            </w:pPr>
            <w:r>
              <w:t xml:space="preserve">Official 2024 validation values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de-references"/>
      <w:r>
        <w:t xml:space="preserve">Code References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CORE_2003_POJOAQUE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85-93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CORE_2003_TESUQUE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97-107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LA_CIENEGA_CUMULATIVE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48-76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ABOVE_OTOWI_CELLS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111-115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BELOW_OTOWI_CELLS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118-124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generate_table3_data()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501-590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generate_table4_data()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720-820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generate_table5_data()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stream_depletions.py</w:t>
            </w:r>
          </w:p>
        </w:tc>
        <w:tc>
          <w:p>
            <w:pPr>
              <w:pStyle w:val="Compact"/>
              <w:jc w:val="left"/>
            </w:pPr>
            <w:r>
              <w:t xml:space="preserve">880-973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generated: February 2026</w:t>
      </w:r>
      <w:r>
        <w:t xml:space="preserve"> </w:t>
      </w:r>
      <w:r>
        <w:rPr>
          <w:i/>
        </w:rPr>
        <w:t xml:space="preserve">Workflow verified against MSC_2025_002 official values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2026-02-10T21:17:11Z</dcterms:created>
  <dcterms:modified xsi:type="dcterms:W3CDTF">2026-02-10T21:17:11Z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