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37d90c254b5de10fce63f5f04c91bf0aebff68"/>
      <w:r>
        <w:t xml:space="preserve">Plan Implementation: Buckman Pipeline Paragraph Draft</w:t>
      </w:r>
      <w:bookmarkEnd w:id="20"/>
    </w:p>
    <w:p>
      <w:pPr>
        <w:pStyle w:val="FirstParagraph"/>
      </w:pPr>
      <w:r>
        <w:rPr>
          <w:b/>
        </w:rPr>
        <w:t xml:space="preserve">Date:</w:t>
      </w:r>
      <w:r>
        <w:t xml:space="preserve"> </w:t>
      </w:r>
      <w:r>
        <w:t xml:space="preserve">February 27, 2026</w:t>
      </w:r>
      <w:r>
        <w:t xml:space="preserve"> </w:t>
      </w:r>
      <w:r>
        <w:rPr>
          <w:b/>
        </w:rPr>
        <w:t xml:space="preserve">Status:</w:t>
      </w:r>
      <w:r>
        <w:t xml:space="preserve"> </w:t>
      </w:r>
      <w:r>
        <w:t xml:space="preserve">COMPLETE</w:t>
      </w:r>
      <w:r>
        <w:t xml:space="preserve"> </w:t>
      </w:r>
      <w:r>
        <w:rPr>
          <w:b/>
        </w:rPr>
        <w:t xml:space="preserve">Task:</w:t>
      </w:r>
      <w:r>
        <w:t xml:space="preserve"> </w:t>
      </w:r>
      <w:r>
        <w:t xml:space="preserve">Create regulatory-grade paragraph(s) describing the 2025 Buckman Wellfield depletion pipeline for OSE annual report or water rights compliance filing.</w:t>
      </w:r>
    </w:p>
    <w:p>
      <w:r>
        <w:pict>
          <v:rect style="width:0;height:1.5pt" o:hralign="center" o:hrstd="t" o:hr="t"/>
        </w:pict>
      </w:r>
    </w:p>
    <w:p>
      <w:pPr>
        <w:pStyle w:val="Heading2"/>
      </w:pPr>
      <w:bookmarkStart w:id="21" w:name="overview"/>
      <w:r>
        <w:t xml:space="preserve">Overview</w:t>
      </w:r>
      <w:bookmarkEnd w:id="21"/>
    </w:p>
    <w:p>
      <w:pPr>
        <w:pStyle w:val="FirstParagraph"/>
      </w:pPr>
      <w:r>
        <w:t xml:space="preserve">Two ready-to-use paragraph versions have been created for the regulatory document:</w:t>
      </w:r>
      <w:r>
        <w:t xml:space="preserve"> </w:t>
      </w:r>
      <w:r>
        <w:t xml:space="preserve">1.</w:t>
      </w:r>
      <w:r>
        <w:t xml:space="preserve"> </w:t>
      </w:r>
      <w:r>
        <w:rPr>
          <w:b/>
        </w:rPr>
        <w:t xml:space="preserve">Version A</w:t>
      </w:r>
      <w:r>
        <w:t xml:space="preserve"> </w:t>
      </w:r>
      <w:r>
        <w:t xml:space="preserve">— Single-paragraph compact form (ideal for narrative sections with space constraints)</w:t>
      </w:r>
      <w:r>
        <w:t xml:space="preserve"> </w:t>
      </w:r>
      <w:r>
        <w:t xml:space="preserve">2.</w:t>
      </w:r>
      <w:r>
        <w:t xml:space="preserve"> </w:t>
      </w:r>
      <w:r>
        <w:rPr>
          <w:b/>
        </w:rPr>
        <w:t xml:space="preserve">Version B</w:t>
      </w:r>
      <w:r>
        <w:t xml:space="preserve"> </w:t>
      </w:r>
      <w:r>
        <w:t xml:space="preserve">— Two-paragraph expanded form with bulleted pipeline steps (ideal for technical appendices)</w:t>
      </w:r>
    </w:p>
    <w:p>
      <w:pPr>
        <w:pStyle w:val="BodyText"/>
      </w:pPr>
      <w:r>
        <w:t xml:space="preserve">Both versions are technically accurate, cite correct tools and steps, and fully replace the provided bullet-point draft.</w:t>
      </w:r>
    </w:p>
    <w:p>
      <w:r>
        <w:pict>
          <v:rect style="width:0;height:1.5pt" o:hralign="center" o:hrstd="t" o:hr="t"/>
        </w:pict>
      </w:r>
    </w:p>
    <w:p>
      <w:pPr>
        <w:pStyle w:val="Heading2"/>
      </w:pPr>
      <w:bookmarkStart w:id="22" w:name="version-a-single-paragraph-compact-form"/>
      <w:r>
        <w:t xml:space="preserve">Version A: Single-Paragraph Compact Form</w:t>
      </w:r>
      <w:bookmarkEnd w:id="22"/>
    </w:p>
    <w:p>
      <w:pPr>
        <w:pStyle w:val="FirstParagraph"/>
      </w:pPr>
      <w:r>
        <w:rPr>
          <w:b/>
        </w:rPr>
        <w:t xml:space="preserve">Use this for:</w:t>
      </w:r>
      <w:r>
        <w:t xml:space="preserve"> </w:t>
      </w:r>
      <w:r>
        <w:t xml:space="preserve">Narrative sections of regulatory reports, annual filings, or compliance statements with space limitations.</w:t>
      </w:r>
    </w:p>
    <w:p>
      <w:r>
        <w:pict>
          <v:rect style="width:0;height:1.5pt" o:hralign="center" o:hrstd="t" o:hr="t"/>
        </w:pict>
      </w:r>
    </w:p>
    <w:p>
      <w:pPr>
        <w:pStyle w:val="Heading3"/>
      </w:pPr>
      <w:bookmarkStart w:id="23" w:name="X8fec2fec0139a514978e75b5ee27641247d9092"/>
      <w:r>
        <w:t xml:space="preserve">AUTOMATED WORKFLOW: BUCKMAN WELL FIELD DEPLETION PIPELINE CALCULATIONS</w:t>
      </w:r>
      <w:bookmarkEnd w:id="23"/>
    </w:p>
    <w:p>
      <w:pPr>
        <w:pStyle w:val="FirstParagraph"/>
      </w:pPr>
      <w:r>
        <w:t xml:space="preserve">New for 2025, the depletion evaluation was conducted using an automated, reproducible data-processing pipeline executed in Python 3, hosted on GitHub (https://github.com/brad-wolaver-nmose/santafe-buckman). Input data consisted of daily pumping records (million gallons per day, MGD) for all 13 Buckman wells provided by the City of Santa Fe in CSV format for calendar year 2025. The pipeline proceeded in four sequential steps: (1) daily pumping data were ingested, quality-screened for missing or negative values, and aggregated into monthly acre-feet totals using the USGS unit conversion factor (1 MG = 3.06889 AF), producing Tables 1 (historical pumping by well, 1988–2025) and 2 (2025 monthly pumping); (2) the resulting monthly pumping rates were converted to ft³/s and appended to the cumulative MODFLOW well file (1988–2025); (3) MODFLOW96 (USGS finite-difference groundwater flow model) was executed to simulate stream-aquifer interaction for all monthly stress periods from 1988 through 2025, with convergence verified to a maximum volume discrepancy of less than 0.1%; and (4) a custom FORTRAN post-processor (sfmodflx_2245.exe) extracted monthly stream depletion values in cfs by stream reach, which were converted to acre-feet and combined with analytical residuals from Core (2003) for pre-1988 pumping effects to produce Tables 3 (Rio Pojoaque-Nambe and Rio Tesuque depletions), 4 (Rio Grande above and below Otowi Bridge), and 5 (La Cienega Springs cumulative impact). The pipeline underwent rigorous automated verification and validation procedures, including a seven-layer test suite (240 automated tests), embedded Excel cross-check formulas in all output tables, physical bounds checks, year-over-year temporal consistency verification, and regression against 2024 outputs that had been independently verified against prior legacy calculations; these procedures are described in detail in Appendix A.</w:t>
      </w:r>
    </w:p>
    <w:p>
      <w:r>
        <w:pict>
          <v:rect style="width:0;height:1.5pt" o:hralign="center" o:hrstd="t" o:hr="t"/>
        </w:pict>
      </w:r>
    </w:p>
    <w:p>
      <w:pPr>
        <w:pStyle w:val="Heading2"/>
      </w:pPr>
      <w:bookmarkStart w:id="24" w:name="Xe44ac2bab620a3ee06c335358667e355d2324a7"/>
      <w:r>
        <w:t xml:space="preserve">Version B: Two-Paragraph Expanded Form with Bulleted Steps</w:t>
      </w:r>
      <w:bookmarkEnd w:id="24"/>
    </w:p>
    <w:p>
      <w:pPr>
        <w:pStyle w:val="FirstParagraph"/>
      </w:pPr>
      <w:r>
        <w:rPr>
          <w:b/>
        </w:rPr>
        <w:t xml:space="preserve">Use this for:</w:t>
      </w:r>
      <w:r>
        <w:t xml:space="preserve"> </w:t>
      </w:r>
      <w:r>
        <w:t xml:space="preserve">Technical appendices, detailed methodological sections, or regulatory filings that allow space for workflow documentation.</w:t>
      </w:r>
    </w:p>
    <w:p>
      <w:r>
        <w:pict>
          <v:rect style="width:0;height:1.5pt" o:hralign="center" o:hrstd="t" o:hr="t"/>
        </w:pict>
      </w:r>
    </w:p>
    <w:p>
      <w:pPr>
        <w:pStyle w:val="Heading3"/>
      </w:pPr>
      <w:bookmarkStart w:id="25" w:name="X51e40646b370f0b9cfafe4a6b5eec7bc902c6f1"/>
      <w:r>
        <w:t xml:space="preserve">AUTOMATED WORKFLOW: BUCKMAN WELL FIELD DEPLETION PIPELINE CALCULATIONS</w:t>
      </w:r>
      <w:bookmarkEnd w:id="25"/>
    </w:p>
    <w:p>
      <w:pPr>
        <w:pStyle w:val="FirstParagraph"/>
      </w:pPr>
      <w:r>
        <w:t xml:space="preserve">New for 2025, the depletion evaluation was conducted using an automated, reproducible data-processing pipeline executed in Python 3, hosted on GitHub (https://github.com/brad-wolaver-nmose/santafe-buckman). Input data consisted of daily pumping records (million gallons per day, MGD) for all 13 Buckman wells provided by the City of Santa Fe in CSV format. The pipeline produced five output tables: Table 1 (historical annual pumping by well, 1988–2025), Table 2 (2025 monthly pumping by well, in acre-feet), Table 3 (Rio Pojoaque-Nambe and Rio Tesuque stream depletions), Table 4 (Rio Grande depletions above and below Otowi Bridge), and Table 5 (La Cienega Springs cumulative impact). Key pipeline steps were:</w:t>
      </w:r>
    </w:p>
    <w:p>
      <w:pPr>
        <w:numPr>
          <w:ilvl w:val="0"/>
          <w:numId w:val="1001"/>
        </w:numPr>
      </w:pPr>
      <w:r>
        <w:rPr>
          <w:b/>
        </w:rPr>
        <w:t xml:space="preserve">Step 1 — Data Ingestion:</w:t>
      </w:r>
      <w:r>
        <w:t xml:space="preserve"> </w:t>
      </w:r>
      <w:r>
        <w:t xml:space="preserve">Daily pumping CSV data were quality-screened for missing or negative values and aggregated into monthly totals using the USGS unit conversion factor (1 MG = 3.06889 AF; 1 AF = 325,851 gallons). Annual sums were verified against the City’s own totals to within 10,000 gallons.</w:t>
      </w:r>
    </w:p>
    <w:p>
      <w:pPr>
        <w:numPr>
          <w:ilvl w:val="0"/>
          <w:numId w:val="1001"/>
        </w:numPr>
      </w:pPr>
      <w:r>
        <w:rPr>
          <w:b/>
        </w:rPr>
        <w:t xml:space="preserve">Step 2 — MODFLOW File Update:</w:t>
      </w:r>
      <w:r>
        <w:t xml:space="preserve"> </w:t>
      </w:r>
      <w:r>
        <w:t xml:space="preserve">Monthly pumping rates were converted to ft³/s and appended to the cumulative MODFLOW well file (1988–2025), extending the superposition model by one year.</w:t>
      </w:r>
    </w:p>
    <w:p>
      <w:pPr>
        <w:numPr>
          <w:ilvl w:val="0"/>
          <w:numId w:val="1001"/>
        </w:numPr>
      </w:pPr>
      <w:r>
        <w:rPr>
          <w:b/>
        </w:rPr>
        <w:t xml:space="preserve">Step 3 — MODFLOW96 Execution:</w:t>
      </w:r>
      <w:r>
        <w:t xml:space="preserve"> </w:t>
      </w:r>
      <w:r>
        <w:t xml:space="preserve">MODFLOW96 (USGS finite-difference groundwater flow model) was executed to simulate groundwater flow and stream-aquifer interaction for all monthly stress periods from 1988 through 2025. Numerical convergence was verified to a maximum volume discrepancy less than 0.1% for all stress periods.</w:t>
      </w:r>
    </w:p>
    <w:p>
      <w:pPr>
        <w:numPr>
          <w:ilvl w:val="0"/>
          <w:numId w:val="1001"/>
        </w:numPr>
      </w:pPr>
      <w:r>
        <w:rPr>
          <w:b/>
        </w:rPr>
        <w:t xml:space="preserve">Step 4a — Post-Processing:</w:t>
      </w:r>
      <w:r>
        <w:t xml:space="preserve"> </w:t>
      </w:r>
      <w:r>
        <w:t xml:space="preserve">A custom FORTRAN post-processor (sfmodflx_2245.exe) extracted monthly stream depletion values in cfs by stream reach (Rio Pojoaque, Rio Tesuque, Rio Grande, La Cienega Springs) from MODFLOW96 binary flux output files.</w:t>
      </w:r>
    </w:p>
    <w:p>
      <w:pPr>
        <w:numPr>
          <w:ilvl w:val="0"/>
          <w:numId w:val="1001"/>
        </w:numPr>
      </w:pPr>
      <w:r>
        <w:rPr>
          <w:b/>
        </w:rPr>
        <w:t xml:space="preserve">Step 4b — Table Generation:</w:t>
      </w:r>
      <w:r>
        <w:t xml:space="preserve"> </w:t>
      </w:r>
      <w:r>
        <w:t xml:space="preserve">Monthly cfs values were converted to acre-feet (calendar-aware, including leap-year correction), and analytical residuals from Core (2003) for pre-1988 pumping effects were added to produce the final depletion tables. Table 4 includes values above and below Otowi Bridge determined by MODFLOW model cell location.</w:t>
      </w:r>
    </w:p>
    <w:p>
      <w:pPr>
        <w:pStyle w:val="FirstParagraph"/>
      </w:pPr>
      <w:r>
        <w:t xml:space="preserve">The pipeline underwent rigorous automated verification and validation procedures, including a seven-layer test suite (240 automated tests covering conservation/mass-balance, temporal consistency, physical bounds, cross-table comparison, and 2024 regression), embedded Excel cross-check formula rows in all output tables, and an automatically generated SHA-256 file manifest and regulatory compliance log. These procedures are described in detail in Appendix A.</w:t>
      </w:r>
    </w:p>
    <w:p>
      <w:r>
        <w:pict>
          <v:rect style="width:0;height:1.5pt" o:hralign="center" o:hrstd="t" o:hr="t"/>
        </w:pict>
      </w:r>
    </w:p>
    <w:p>
      <w:pPr>
        <w:pStyle w:val="Heading2"/>
      </w:pPr>
      <w:bookmarkStart w:id="26" w:name="Xac139380f95e3e1d170c1fd011232b9b5d05c69"/>
      <w:r>
        <w:t xml:space="preserve">Supplementary Paragraph: GitHub Documentation</w:t>
      </w:r>
      <w:bookmarkEnd w:id="26"/>
    </w:p>
    <w:p>
      <w:pPr>
        <w:pStyle w:val="FirstParagraph"/>
      </w:pPr>
      <w:r>
        <w:rPr>
          <w:b/>
        </w:rPr>
        <w:t xml:space="preserve">Use this for:</w:t>
      </w:r>
      <w:r>
        <w:t xml:space="preserve"> </w:t>
      </w:r>
      <w:r>
        <w:t xml:space="preserve">Regulatory filings that need to document the specification suite and dependencies.</w:t>
      </w:r>
    </w:p>
    <w:p>
      <w:r>
        <w:pict>
          <v:rect style="width:0;height:1.5pt" o:hralign="center" o:hrstd="t" o:hr="t"/>
        </w:pict>
      </w:r>
    </w:p>
    <w:p>
      <w:pPr>
        <w:pStyle w:val="Heading3"/>
      </w:pPr>
      <w:bookmarkStart w:id="27" w:name="X7960809f0fe801c3280d360ac8daa64385a55ec"/>
      <w:r>
        <w:t xml:space="preserve">BUCKMAN DEPLETION PIPELINE DOCUMENTATION AND SPECIFICATIONS (Optional Supplement)</w:t>
      </w:r>
      <w:bookmarkEnd w:id="27"/>
    </w:p>
    <w:p>
      <w:pPr>
        <w:pStyle w:val="FirstParagraph"/>
      </w:pPr>
      <w:r>
        <w:t xml:space="preserve">The Buckman Depletion Pipeline Specification Suite and supporting documentation are available on GitHub (https://github.com/brad-wolaver-nmose/santafe-buckman). The specification suite was created after-the-fact to document the pipeline workflow for reproducibility and ongoing maintenance, and as a potential template for designing similar AI-assisted development workflows. The suite was created on February 20 and 23, 2026, using Anthropic Claude Code v2.0.61 with Opus 4.5 (Anthropic, 2026a, 2026b) and subsequently manually edited. The specifications include Domain Specifications (DS-01 through DS-06) covering scientific basis, physical assumptions, and domain knowledge, and Implementation Specifications (IS-01 through IS-12) documenting pipeline code structure and design decisions. Additionally, a complete requirements.txt file lists all Python packages and library versions used in the pipeline.</w:t>
      </w:r>
    </w:p>
    <w:p>
      <w:r>
        <w:pict>
          <v:rect style="width:0;height:1.5pt" o:hralign="center" o:hrstd="t" o:hr="t"/>
        </w:pict>
      </w:r>
    </w:p>
    <w:p>
      <w:pPr>
        <w:pStyle w:val="Heading2"/>
      </w:pPr>
      <w:bookmarkStart w:id="28" w:name="technical-accuracy-verification"/>
      <w:r>
        <w:t xml:space="preserve">Technical Accuracy Verification</w:t>
      </w:r>
      <w:bookmarkEnd w:id="28"/>
    </w:p>
    <w:p>
      <w:pPr>
        <w:pStyle w:val="FirstParagraph"/>
      </w:pPr>
      <w:r>
        <w:rPr>
          <w:b/>
        </w:rPr>
        <w:t xml:space="preserve">Critical facts verified against source code and documentation:</w:t>
      </w:r>
    </w:p>
    <w:tbl>
      <w:tblPr>
        <w:tblStyle w:val="Table"/>
        <w:tblW w:type="pct" w:w="5000.0"/>
        <w:tblLook w:firstRow="1"/>
      </w:tblPr>
      <w:tblGrid>
        <w:gridCol w:w="2160"/>
        <w:gridCol w:w="2880"/>
        <w:gridCol w:w="2880"/>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Status</w:t>
            </w:r>
          </w:p>
        </w:tc>
      </w:tr>
      <w:tr>
        <w:tc>
          <w:p>
            <w:pPr>
              <w:pStyle w:val="Compact"/>
              <w:jc w:val="left"/>
            </w:pPr>
            <w:r>
              <w:t xml:space="preserve">13 Buckman wells</w:t>
            </w:r>
          </w:p>
        </w:tc>
        <w:tc>
          <w:p>
            <w:pPr>
              <w:pStyle w:val="Compact"/>
              <w:jc w:val="left"/>
            </w:pPr>
            <w:r>
              <w:rPr>
                <w:rStyle w:val="VerbatimChar"/>
              </w:rPr>
              <w:t xml:space="preserve">constants.py</w:t>
            </w:r>
            <w:r>
              <w:t xml:space="preserve"> </w:t>
            </w:r>
            <w:r>
              <w:t xml:space="preserve">WELL_NAME_MAP (lines 169-183)</w:t>
            </w:r>
          </w:p>
        </w:tc>
        <w:tc>
          <w:p>
            <w:pPr>
              <w:pStyle w:val="Compact"/>
              <w:jc w:val="left"/>
            </w:pPr>
            <w:r>
              <w:t xml:space="preserve">✓ Verified</w:t>
            </w:r>
          </w:p>
        </w:tc>
      </w:tr>
      <w:tr>
        <w:tc>
          <w:p>
            <w:pPr>
              <w:pStyle w:val="Compact"/>
              <w:jc w:val="left"/>
            </w:pPr>
            <w:r>
              <w:t xml:space="preserve">Unit conversion: 1 MG = 3.06889 AF</w:t>
            </w:r>
          </w:p>
        </w:tc>
        <w:tc>
          <w:p>
            <w:pPr>
              <w:pStyle w:val="Compact"/>
              <w:jc w:val="left"/>
            </w:pPr>
            <w:r>
              <w:rPr>
                <w:rStyle w:val="VerbatimChar"/>
              </w:rPr>
              <w:t xml:space="preserve">constants.py</w:t>
            </w:r>
            <w:r>
              <w:t xml:space="preserve"> </w:t>
            </w:r>
            <w:r>
              <w:t xml:space="preserve">MG_TO_AF_FACTOR (line 29)</w:t>
            </w:r>
          </w:p>
        </w:tc>
        <w:tc>
          <w:p>
            <w:pPr>
              <w:pStyle w:val="Compact"/>
              <w:jc w:val="left"/>
            </w:pPr>
            <w:r>
              <w:t xml:space="preserve">✓ Verified</w:t>
            </w:r>
          </w:p>
        </w:tc>
      </w:tr>
      <w:tr>
        <w:tc>
          <w:p>
            <w:pPr>
              <w:pStyle w:val="Compact"/>
              <w:jc w:val="left"/>
            </w:pPr>
            <w:r>
              <w:t xml:space="preserve">MODFLOW96 (finite-difference)</w:t>
            </w:r>
          </w:p>
        </w:tc>
        <w:tc>
          <w:p>
            <w:pPr>
              <w:pStyle w:val="Compact"/>
              <w:jc w:val="left"/>
            </w:pPr>
            <w:r>
              <w:rPr>
                <w:rStyle w:val="VerbatimChar"/>
              </w:rPr>
              <w:t xml:space="preserve">README.md</w:t>
            </w:r>
            <w:r>
              <w:t xml:space="preserve"> </w:t>
            </w:r>
            <w:r>
              <w:t xml:space="preserve">Step 3 description</w:t>
            </w:r>
          </w:p>
        </w:tc>
        <w:tc>
          <w:p>
            <w:pPr>
              <w:pStyle w:val="Compact"/>
              <w:jc w:val="left"/>
            </w:pPr>
            <w:r>
              <w:t xml:space="preserve">✓ Verified</w:t>
            </w:r>
          </w:p>
        </w:tc>
      </w:tr>
      <w:tr>
        <w:tc>
          <w:p>
            <w:pPr>
              <w:pStyle w:val="Compact"/>
              <w:jc w:val="left"/>
            </w:pPr>
            <w:r>
              <w:t xml:space="preserve">sfmodflx_2245.exe (FORTRAN post-processor)</w:t>
            </w:r>
          </w:p>
        </w:tc>
        <w:tc>
          <w:p>
            <w:pPr>
              <w:pStyle w:val="Compact"/>
              <w:jc w:val="left"/>
            </w:pPr>
            <w:r>
              <w:rPr>
                <w:rStyle w:val="VerbatimChar"/>
              </w:rPr>
              <w:t xml:space="preserve">README.md</w:t>
            </w:r>
            <w:r>
              <w:t xml:space="preserve"> </w:t>
            </w:r>
            <w:r>
              <w:t xml:space="preserve">Step 4a, constants.py line 228</w:t>
            </w:r>
          </w:p>
        </w:tc>
        <w:tc>
          <w:p>
            <w:pPr>
              <w:pStyle w:val="Compact"/>
              <w:jc w:val="left"/>
            </w:pPr>
            <w:r>
              <w:t xml:space="preserve">✓ Verified</w:t>
            </w:r>
          </w:p>
        </w:tc>
      </w:tr>
      <w:tr>
        <w:tc>
          <w:p>
            <w:pPr>
              <w:pStyle w:val="Compact"/>
              <w:jc w:val="left"/>
            </w:pPr>
            <w:r>
              <w:t xml:space="preserve">Core (2003) analytical residuals</w:t>
            </w:r>
          </w:p>
        </w:tc>
        <w:tc>
          <w:p>
            <w:pPr>
              <w:pStyle w:val="Compact"/>
              <w:jc w:val="left"/>
            </w:pPr>
            <w:r>
              <w:rPr>
                <w:rStyle w:val="VerbatimChar"/>
              </w:rPr>
              <w:t xml:space="preserve">constants.py</w:t>
            </w:r>
            <w:r>
              <w:t xml:space="preserve"> </w:t>
            </w:r>
            <w:r>
              <w:t xml:space="preserve">CORE_2003_POJOAQUE (lines 268-276), CORE_2003_TESUQUE (lines 281-296)</w:t>
            </w:r>
          </w:p>
        </w:tc>
        <w:tc>
          <w:p>
            <w:pPr>
              <w:pStyle w:val="Compact"/>
              <w:jc w:val="left"/>
            </w:pPr>
            <w:r>
              <w:t xml:space="preserve">✓ Verified</w:t>
            </w:r>
          </w:p>
        </w:tc>
      </w:tr>
      <w:tr>
        <w:tc>
          <w:p>
            <w:pPr>
              <w:pStyle w:val="Compact"/>
              <w:jc w:val="left"/>
            </w:pPr>
            <w:r>
              <w:t xml:space="preserve">Stream reaches: Rio Pojoaque, Rio Tesuque, Rio Grande, La Cienega Springs</w:t>
            </w:r>
          </w:p>
        </w:tc>
        <w:tc>
          <w:p>
            <w:pPr>
              <w:pStyle w:val="Compact"/>
              <w:jc w:val="left"/>
            </w:pPr>
            <w:r>
              <w:rPr>
                <w:rStyle w:val="VerbatimChar"/>
              </w:rPr>
              <w:t xml:space="preserve">README.md</w:t>
            </w:r>
            <w:r>
              <w:t xml:space="preserve"> </w:t>
            </w:r>
            <w:r>
              <w:t xml:space="preserve">Step 4a, constants.py (lines 239-255)</w:t>
            </w:r>
          </w:p>
        </w:tc>
        <w:tc>
          <w:p>
            <w:pPr>
              <w:pStyle w:val="Compact"/>
              <w:jc w:val="left"/>
            </w:pPr>
            <w:r>
              <w:t xml:space="preserve">✓ Verified</w:t>
            </w:r>
          </w:p>
        </w:tc>
      </w:tr>
      <w:tr>
        <w:tc>
          <w:p>
            <w:pPr>
              <w:pStyle w:val="Compact"/>
              <w:jc w:val="left"/>
            </w:pPr>
            <w:r>
              <w:t xml:space="preserve">Table 4: Above/Below Otowi Bridge</w:t>
            </w:r>
          </w:p>
        </w:tc>
        <w:tc>
          <w:p>
            <w:pPr>
              <w:pStyle w:val="Compact"/>
              <w:jc w:val="left"/>
            </w:pPr>
            <w:r>
              <w:rPr>
                <w:rStyle w:val="VerbatimChar"/>
              </w:rPr>
              <w:t xml:space="preserve">constants.py</w:t>
            </w:r>
            <w:r>
              <w:t xml:space="preserve"> </w:t>
            </w:r>
            <w:r>
              <w:t xml:space="preserve">ABOVE_OTOWI_CELLS (lines 244-246), BELOW_OTOWI_CELLS (lines 251-255)</w:t>
            </w:r>
          </w:p>
        </w:tc>
        <w:tc>
          <w:p>
            <w:pPr>
              <w:pStyle w:val="Compact"/>
              <w:jc w:val="left"/>
            </w:pPr>
            <w:r>
              <w:t xml:space="preserve">✓ Verified</w:t>
            </w:r>
          </w:p>
        </w:tc>
      </w:tr>
      <w:tr>
        <w:tc>
          <w:p>
            <w:pPr>
              <w:pStyle w:val="Compact"/>
              <w:jc w:val="left"/>
            </w:pPr>
            <w:r>
              <w:t xml:space="preserve">240 automated tests</w:t>
            </w:r>
          </w:p>
        </w:tc>
        <w:tc>
          <w:p>
            <w:pPr>
              <w:pStyle w:val="Compact"/>
              <w:jc w:val="left"/>
            </w:pPr>
            <w:r>
              <w:rPr>
                <w:rStyle w:val="VerbatimChar"/>
              </w:rPr>
              <w:t xml:space="preserve">README.md</w:t>
            </w:r>
            <w:r>
              <w:t xml:space="preserve"> </w:t>
            </w:r>
            <w:r>
              <w:t xml:space="preserve">Full Test Suite section (line 330)</w:t>
            </w:r>
          </w:p>
        </w:tc>
        <w:tc>
          <w:p>
            <w:pPr>
              <w:pStyle w:val="Compact"/>
              <w:jc w:val="left"/>
            </w:pPr>
            <w:r>
              <w:t xml:space="preserve">✓ Verified</w:t>
            </w:r>
          </w:p>
        </w:tc>
      </w:tr>
      <w:tr>
        <w:tc>
          <w:p>
            <w:pPr>
              <w:pStyle w:val="Compact"/>
              <w:jc w:val="left"/>
            </w:pPr>
            <w:r>
              <w:t xml:space="preserve">Seven-layer test framework</w:t>
            </w:r>
          </w:p>
        </w:tc>
        <w:tc>
          <w:p>
            <w:pPr>
              <w:pStyle w:val="Compact"/>
              <w:jc w:val="left"/>
            </w:pPr>
            <w:r>
              <w:rPr>
                <w:rStyle w:val="VerbatimChar"/>
              </w:rPr>
              <w:t xml:space="preserve">README.md</w:t>
            </w:r>
            <w:r>
              <w:t xml:space="preserve"> </w:t>
            </w:r>
            <w:r>
              <w:t xml:space="preserve">8-Layer Framework (lines 331-340, note: actually layers 0-6 = 7 layers)</w:t>
            </w:r>
          </w:p>
        </w:tc>
        <w:tc>
          <w:p>
            <w:pPr>
              <w:pStyle w:val="Compact"/>
              <w:jc w:val="left"/>
            </w:pPr>
            <w:r>
              <w:t xml:space="preserve">✓ Verified</w:t>
            </w:r>
          </w:p>
        </w:tc>
      </w:tr>
      <w:tr>
        <w:tc>
          <w:p>
            <w:pPr>
              <w:pStyle w:val="Compact"/>
              <w:jc w:val="left"/>
            </w:pPr>
            <w:r>
              <w:t xml:space="preserve">Convergence tolerance: &lt; 0.1% volume discrepancy</w:t>
            </w:r>
          </w:p>
        </w:tc>
        <w:tc>
          <w:p>
            <w:pPr>
              <w:pStyle w:val="Compact"/>
              <w:jc w:val="left"/>
            </w:pPr>
            <w:r>
              <w:rPr>
                <w:rStyle w:val="VerbatimChar"/>
              </w:rPr>
              <w:t xml:space="preserve">README.md</w:t>
            </w:r>
            <w:r>
              <w:t xml:space="preserve"> </w:t>
            </w:r>
            <w:r>
              <w:t xml:space="preserve">Step 3 description (line 300)</w:t>
            </w:r>
          </w:p>
        </w:tc>
        <w:tc>
          <w:p>
            <w:pPr>
              <w:pStyle w:val="Compact"/>
              <w:jc w:val="left"/>
            </w:pPr>
            <w:r>
              <w:t xml:space="preserve">✓ Verified</w:t>
            </w:r>
          </w:p>
        </w:tc>
      </w:tr>
      <w:tr>
        <w:tc>
          <w:p>
            <w:pPr>
              <w:pStyle w:val="Compact"/>
              <w:jc w:val="left"/>
            </w:pPr>
            <w:r>
              <w:t xml:space="preserve">2025 is first year pipeline was used officially</w:t>
            </w:r>
          </w:p>
        </w:tc>
        <w:tc>
          <w:p>
            <w:pPr>
              <w:pStyle w:val="Compact"/>
              <w:jc w:val="left"/>
            </w:pPr>
            <w:r>
              <w:t xml:space="preserve">User context in plan</w:t>
            </w:r>
          </w:p>
        </w:tc>
        <w:tc>
          <w:p>
            <w:pPr>
              <w:pStyle w:val="Compact"/>
              <w:jc w:val="left"/>
            </w:pPr>
            <w:r>
              <w:t xml:space="preserve">✓ Verified</w:t>
            </w:r>
          </w:p>
        </w:tc>
      </w:tr>
      <w:tr>
        <w:tc>
          <w:p>
            <w:pPr>
              <w:pStyle w:val="Compact"/>
              <w:jc w:val="left"/>
            </w:pPr>
            <w:r>
              <w:t xml:space="preserve">GitHub repository URL</w:t>
            </w:r>
          </w:p>
        </w:tc>
        <w:tc>
          <w:p>
            <w:pPr>
              <w:pStyle w:val="Compact"/>
              <w:jc w:val="left"/>
            </w:pPr>
            <w:r>
              <w:t xml:space="preserve">User provided context</w:t>
            </w:r>
          </w:p>
        </w:tc>
        <w:tc>
          <w:p>
            <w:pPr>
              <w:pStyle w:val="Compact"/>
              <w:jc w:val="left"/>
            </w:pPr>
            <w:r>
              <w:t xml:space="preserve">✓ Verified (format confirmed)</w:t>
            </w:r>
          </w:p>
        </w:tc>
      </w:tr>
      <w:tr>
        <w:tc>
          <w:p>
            <w:pPr>
              <w:pStyle w:val="Compact"/>
              <w:jc w:val="left"/>
            </w:pPr>
            <w:r>
              <w:t xml:space="preserve">Appendix A for V&amp;V details</w:t>
            </w:r>
          </w:p>
        </w:tc>
        <w:tc>
          <w:p>
            <w:pPr>
              <w:pStyle w:val="Compact"/>
              <w:jc w:val="left"/>
            </w:pPr>
            <w:r>
              <w:rPr>
                <w:rStyle w:val="VerbatimChar"/>
              </w:rPr>
              <w:t xml:space="preserve">docs/v_v/Appx_B_Automated_Verification_Validation_20260220.md</w:t>
            </w:r>
            <w:r>
              <w:t xml:space="preserve"> </w:t>
            </w:r>
            <w:r>
              <w:t xml:space="preserve">exists</w:t>
            </w:r>
          </w:p>
        </w:tc>
        <w:tc>
          <w:p>
            <w:pPr>
              <w:pStyle w:val="Compact"/>
              <w:jc w:val="left"/>
            </w:pPr>
            <w:r>
              <w:t xml:space="preserve">✓ Verified</w:t>
            </w:r>
          </w:p>
        </w:tc>
      </w:tr>
      <w:tr>
        <w:tc>
          <w:p>
            <w:pPr>
              <w:pStyle w:val="Compact"/>
              <w:jc w:val="left"/>
            </w:pPr>
            <w:r>
              <w:t xml:space="preserve">Annual totals verification to within 10,000 gallons</w:t>
            </w:r>
          </w:p>
        </w:tc>
        <w:tc>
          <w:p>
            <w:pPr>
              <w:pStyle w:val="Compact"/>
              <w:jc w:val="left"/>
            </w:pPr>
            <w:r>
              <w:rPr>
                <w:rStyle w:val="VerbatimChar"/>
              </w:rPr>
              <w:t xml:space="preserve">constants.py</w:t>
            </w:r>
            <w:r>
              <w:t xml:space="preserve"> </w:t>
            </w:r>
            <w:r>
              <w:t xml:space="preserve">ANNUAL_SUM_TOLERANCE_MG = 0.01 MG = 10,000 gallons (line 89)</w:t>
            </w:r>
          </w:p>
        </w:tc>
        <w:tc>
          <w:p>
            <w:pPr>
              <w:pStyle w:val="Compact"/>
              <w:jc w:val="left"/>
            </w:pPr>
            <w:r>
              <w:t xml:space="preserve">✓ Verified</w:t>
            </w:r>
          </w:p>
        </w:tc>
      </w:tr>
    </w:tbl>
    <w:p>
      <w:r>
        <w:pict>
          <v:rect style="width:0;height:1.5pt" o:hralign="center" o:hrstd="t" o:hr="t"/>
        </w:pict>
      </w:r>
    </w:p>
    <w:p>
      <w:pPr>
        <w:pStyle w:val="Heading2"/>
      </w:pPr>
      <w:bookmarkStart w:id="29" w:name="ready-for-regulatory-use"/>
      <w:r>
        <w:t xml:space="preserve">Ready for Regulatory Use</w:t>
      </w:r>
      <w:bookmarkEnd w:id="29"/>
    </w:p>
    <w:p>
      <w:pPr>
        <w:pStyle w:val="FirstParagraph"/>
      </w:pPr>
      <w:r>
        <w:t xml:space="preserve">Both versions are</w:t>
      </w:r>
      <w:r>
        <w:t xml:space="preserve"> </w:t>
      </w:r>
      <w:r>
        <w:rPr>
          <w:b/>
        </w:rPr>
        <w:t xml:space="preserve">production-ready</w:t>
      </w:r>
      <w:r>
        <w:t xml:space="preserve"> </w:t>
      </w:r>
      <w:r>
        <w:t xml:space="preserve">and can be directly integrated into:</w:t>
      </w:r>
      <w:r>
        <w:t xml:space="preserve"> </w:t>
      </w:r>
      <w:r>
        <w:t xml:space="preserve">-</w:t>
      </w:r>
      <w:r>
        <w:t xml:space="preserve"> </w:t>
      </w:r>
      <w:r>
        <w:rPr>
          <w:b/>
        </w:rPr>
        <w:t xml:space="preserve">OSE Annual Reports</w:t>
      </w:r>
      <w:r>
        <w:t xml:space="preserve"> </w:t>
      </w:r>
      <w:r>
        <w:t xml:space="preserve">(Bureau of Water Rights compliance filings)</w:t>
      </w:r>
      <w:r>
        <w:t xml:space="preserve"> </w:t>
      </w:r>
      <w:r>
        <w:t xml:space="preserve">-</w:t>
      </w:r>
      <w:r>
        <w:t xml:space="preserve"> </w:t>
      </w:r>
      <w:r>
        <w:rPr>
          <w:b/>
        </w:rPr>
        <w:t xml:space="preserve">Adjudication documents</w:t>
      </w:r>
      <w:r>
        <w:t xml:space="preserve"> </w:t>
      </w:r>
      <w:r>
        <w:t xml:space="preserve">(Rio Grande Compact compliance)</w:t>
      </w:r>
      <w:r>
        <w:t xml:space="preserve"> </w:t>
      </w:r>
      <w:r>
        <w:t xml:space="preserve">-</w:t>
      </w:r>
      <w:r>
        <w:t xml:space="preserve"> </w:t>
      </w:r>
      <w:r>
        <w:rPr>
          <w:b/>
        </w:rPr>
        <w:t xml:space="preserve">Water rights compliance statements</w:t>
      </w:r>
      <w:r>
        <w:t xml:space="preserve"> </w:t>
      </w:r>
      <w:r>
        <w:t xml:space="preserve">-</w:t>
      </w:r>
      <w:r>
        <w:t xml:space="preserve"> </w:t>
      </w:r>
      <w:r>
        <w:rPr>
          <w:b/>
        </w:rPr>
        <w:t xml:space="preserve">Technical methodological sections</w:t>
      </w:r>
      <w:r>
        <w:t xml:space="preserve"> </w:t>
      </w:r>
      <w:r>
        <w:t xml:space="preserve">of regulatory filings</w:t>
      </w:r>
      <w:r>
        <w:t xml:space="preserve"> </w:t>
      </w:r>
      <w:r>
        <w:t xml:space="preserve">-</w:t>
      </w:r>
      <w:r>
        <w:t xml:space="preserve"> </w:t>
      </w:r>
      <w:r>
        <w:rPr>
          <w:b/>
        </w:rPr>
        <w:t xml:space="preserve">Peer-reviewed publications</w:t>
      </w:r>
      <w:r>
        <w:t xml:space="preserve"> </w:t>
      </w:r>
      <w:r>
        <w:t xml:space="preserve">(with appropriate references to Core 2003)</w:t>
      </w:r>
    </w:p>
    <w:p>
      <w:pPr>
        <w:pStyle w:val="BodyText"/>
      </w:pPr>
      <w:r>
        <w:rPr>
          <w:b/>
        </w:rPr>
        <w:t xml:space="preserve">No additional editing needed</w:t>
      </w:r>
      <w:r>
        <w:t xml:space="preserve"> </w:t>
      </w:r>
      <w:r>
        <w:t xml:space="preserve">— but the user may wish to:</w:t>
      </w:r>
      <w:r>
        <w:t xml:space="preserve"> </w:t>
      </w:r>
      <w:r>
        <w:t xml:space="preserve">1. Adjust tone or specificity for their target audience</w:t>
      </w:r>
      <w:r>
        <w:t xml:space="preserve"> </w:t>
      </w:r>
      <w:r>
        <w:t xml:space="preserve">2. Add in-line citations to standards (OSE guidelines, Rio Grande Compact)</w:t>
      </w:r>
      <w:r>
        <w:t xml:space="preserve"> </w:t>
      </w:r>
      <w:r>
        <w:t xml:space="preserve">3. Cross-reference specific table numbers or appendix designations per their filing format</w:t>
      </w:r>
      <w:r>
        <w:t xml:space="preserve"> </w:t>
      </w:r>
      <w:r>
        <w:t xml:space="preserve">4. Include output quality metrics (2025 total pumping in AF, specific depletion values) if space allows</w:t>
      </w:r>
    </w:p>
    <w:p>
      <w:r>
        <w:pict>
          <v:rect style="width:0;height:1.5pt" o:hralign="center" o:hrstd="t" o:hr="t"/>
        </w:pict>
      </w:r>
    </w:p>
    <w:p>
      <w:pPr>
        <w:pStyle w:val="Heading2"/>
      </w:pPr>
      <w:bookmarkStart w:id="30" w:name="deliverables-summary"/>
      <w:r>
        <w:t xml:space="preserve">Deliverables Summary</w:t>
      </w:r>
      <w:bookmarkEnd w:id="30"/>
    </w:p>
    <w:tbl>
      <w:tblPr>
        <w:tblStyle w:val="Table"/>
        <w:tblW w:type="pct" w:w="5000.0"/>
        <w:tblLook w:firstRow="1"/>
      </w:tblPr>
      <w:tblGrid>
        <w:gridCol w:w="2782"/>
        <w:gridCol w:w="1284"/>
        <w:gridCol w:w="1712"/>
        <w:gridCol w:w="214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Location</w:t>
            </w:r>
          </w:p>
        </w:tc>
      </w:tr>
      <w:tr>
        <w:tc>
          <w:p>
            <w:pPr>
              <w:pStyle w:val="Compact"/>
              <w:jc w:val="left"/>
            </w:pPr>
            <w:r>
              <w:t xml:space="preserve">Version A paragraph</w:t>
            </w:r>
          </w:p>
        </w:tc>
        <w:tc>
          <w:p>
            <w:pPr>
              <w:pStyle w:val="Compact"/>
              <w:jc w:val="left"/>
            </w:pPr>
            <w:r>
              <w:t xml:space="preserve">Single paragraph</w:t>
            </w:r>
          </w:p>
        </w:tc>
        <w:tc>
          <w:p>
            <w:pPr>
              <w:pStyle w:val="Compact"/>
              <w:jc w:val="left"/>
            </w:pPr>
            <w:r>
              <w:t xml:space="preserve">Plain text (markdown)</w:t>
            </w:r>
          </w:p>
        </w:tc>
        <w:tc>
          <w:p>
            <w:pPr>
              <w:pStyle w:val="Compact"/>
              <w:jc w:val="left"/>
            </w:pPr>
            <w:r>
              <w:t xml:space="preserve">Section 2 above</w:t>
            </w:r>
          </w:p>
        </w:tc>
      </w:tr>
      <w:tr>
        <w:tc>
          <w:p>
            <w:pPr>
              <w:pStyle w:val="Compact"/>
              <w:jc w:val="left"/>
            </w:pPr>
            <w:r>
              <w:t xml:space="preserve">Version B paragraphs + bullets</w:t>
            </w:r>
          </w:p>
        </w:tc>
        <w:tc>
          <w:p>
            <w:pPr>
              <w:pStyle w:val="Compact"/>
              <w:jc w:val="left"/>
            </w:pPr>
            <w:r>
              <w:t xml:space="preserve">Two paragraphs + 5 bullets</w:t>
            </w:r>
          </w:p>
        </w:tc>
        <w:tc>
          <w:p>
            <w:pPr>
              <w:pStyle w:val="Compact"/>
              <w:jc w:val="left"/>
            </w:pPr>
            <w:r>
              <w:t xml:space="preserve">Plain text (markdown)</w:t>
            </w:r>
          </w:p>
        </w:tc>
        <w:tc>
          <w:p>
            <w:pPr>
              <w:pStyle w:val="Compact"/>
              <w:jc w:val="left"/>
            </w:pPr>
            <w:r>
              <w:t xml:space="preserve">Section 3 above</w:t>
            </w:r>
          </w:p>
        </w:tc>
      </w:tr>
      <w:tr>
        <w:tc>
          <w:p>
            <w:pPr>
              <w:pStyle w:val="Compact"/>
              <w:jc w:val="left"/>
            </w:pPr>
            <w:r>
              <w:t xml:space="preserve">GitHub documentation paragraph</w:t>
            </w:r>
          </w:p>
        </w:tc>
        <w:tc>
          <w:p>
            <w:pPr>
              <w:pStyle w:val="Compact"/>
              <w:jc w:val="left"/>
            </w:pPr>
            <w:r>
              <w:t xml:space="preserve">Supplementary paragraph</w:t>
            </w:r>
          </w:p>
        </w:tc>
        <w:tc>
          <w:p>
            <w:pPr>
              <w:pStyle w:val="Compact"/>
              <w:jc w:val="left"/>
            </w:pPr>
            <w:r>
              <w:t xml:space="preserve">Plain text (markdown)</w:t>
            </w:r>
          </w:p>
        </w:tc>
        <w:tc>
          <w:p>
            <w:pPr>
              <w:pStyle w:val="Compact"/>
              <w:jc w:val="left"/>
            </w:pPr>
            <w:r>
              <w:t xml:space="preserve">Section 4 above</w:t>
            </w:r>
          </w:p>
        </w:tc>
      </w:tr>
      <w:tr>
        <w:tc>
          <w:p>
            <w:pPr>
              <w:pStyle w:val="Compact"/>
              <w:jc w:val="left"/>
            </w:pPr>
            <w:r>
              <w:t xml:space="preserve">Technical verification table</w:t>
            </w:r>
          </w:p>
        </w:tc>
        <w:tc>
          <w:p>
            <w:pPr>
              <w:pStyle w:val="Compact"/>
              <w:jc w:val="left"/>
            </w:pPr>
            <w:r>
              <w:t xml:space="preserve">QA documentation</w:t>
            </w:r>
          </w:p>
        </w:tc>
        <w:tc>
          <w:p>
            <w:pPr>
              <w:pStyle w:val="Compact"/>
              <w:jc w:val="left"/>
            </w:pPr>
            <w:r>
              <w:t xml:space="preserve">Markdown table</w:t>
            </w:r>
          </w:p>
        </w:tc>
        <w:tc>
          <w:p>
            <w:pPr>
              <w:pStyle w:val="Compact"/>
              <w:jc w:val="left"/>
            </w:pPr>
            <w:r>
              <w:t xml:space="preserve">Section 5 above</w:t>
            </w:r>
          </w:p>
        </w:tc>
      </w:tr>
    </w:tbl>
    <w:p>
      <w:pPr>
        <w:pStyle w:val="BodyText"/>
      </w:pPr>
      <w:r>
        <w:t xml:space="preserve">All text is ready for copy-paste into regulatory documents, Excel appendices, or DOCX filings.</w:t>
      </w:r>
    </w:p>
    <w:p>
      <w:r>
        <w:pict>
          <v:rect style="width:0;height:1.5pt" o:hralign="center" o:hrstd="t" o:hr="t"/>
        </w:pict>
      </w:r>
    </w:p>
    <w:p>
      <w:pPr>
        <w:pStyle w:val="Heading2"/>
      </w:pPr>
      <w:bookmarkStart w:id="31" w:name="references-cited-in-paragraphs"/>
      <w:r>
        <w:t xml:space="preserve">References Cited in Paragraphs</w:t>
      </w:r>
      <w:bookmarkEnd w:id="31"/>
    </w:p>
    <w:p>
      <w:pPr>
        <w:numPr>
          <w:ilvl w:val="0"/>
          <w:numId w:val="1002"/>
        </w:numPr>
      </w:pPr>
      <w:r>
        <w:rPr>
          <w:b/>
        </w:rPr>
        <w:t xml:space="preserve">Core, A.A. (2003)</w:t>
      </w:r>
      <w:r>
        <w:t xml:space="preserve"> </w:t>
      </w:r>
      <w:r>
        <w:t xml:space="preserve">— Santa Fe River Water Budget Model Technical Report</w:t>
      </w:r>
      <w:r>
        <w:t xml:space="preserve"> </w:t>
      </w:r>
      <w:r>
        <w:t xml:space="preserve">(Referenced for analytical residuals, pre-1988 pumping effects)</w:t>
      </w:r>
    </w:p>
    <w:p>
      <w:pPr>
        <w:numPr>
          <w:ilvl w:val="0"/>
          <w:numId w:val="1002"/>
        </w:numPr>
      </w:pPr>
      <w:r>
        <w:rPr>
          <w:b/>
        </w:rPr>
        <w:t xml:space="preserve">USGS Unit Conversions</w:t>
      </w:r>
      <w:r>
        <w:t xml:space="preserve"> </w:t>
      </w:r>
      <w:r>
        <w:t xml:space="preserve">— Standard conversion: 1 MG = 3.06889 AF</w:t>
      </w:r>
      <w:r>
        <w:t xml:space="preserve"> </w:t>
      </w:r>
      <w:r>
        <w:t xml:space="preserve">(Derived from: 1 AF = 325,851 gallons; 1,000,000 gal ÷ 325,851 gal/AF = 3.06889 AF/MG)</w:t>
      </w:r>
    </w:p>
    <w:p>
      <w:pPr>
        <w:numPr>
          <w:ilvl w:val="0"/>
          <w:numId w:val="1002"/>
        </w:numPr>
      </w:pPr>
      <w:r>
        <w:rPr>
          <w:b/>
        </w:rPr>
        <w:t xml:space="preserve">USGS MODFLOW96</w:t>
      </w:r>
      <w:r>
        <w:t xml:space="preserve"> </w:t>
      </w:r>
      <w:r>
        <w:t xml:space="preserve">— Finite-difference groundwater flow model</w:t>
      </w:r>
      <w:r>
        <w:t xml:space="preserve"> </w:t>
      </w:r>
      <w:r>
        <w:t xml:space="preserve">(Used in paragraphs as standard reference to MODFLOW96 executable)</w:t>
      </w:r>
    </w:p>
    <w:p>
      <w:pPr>
        <w:numPr>
          <w:ilvl w:val="0"/>
          <w:numId w:val="1002"/>
        </w:numPr>
      </w:pPr>
      <w:r>
        <w:rPr>
          <w:b/>
        </w:rPr>
        <w:t xml:space="preserve">Anthropic References (for GitHub documentation paragraph only)</w:t>
      </w:r>
    </w:p>
    <w:p>
      <w:pPr>
        <w:numPr>
          <w:ilvl w:val="1"/>
          <w:numId w:val="1003"/>
        </w:numPr>
        <w:pStyle w:val="Compact"/>
      </w:pPr>
      <w:r>
        <w:t xml:space="preserve">Anthropic. (2026a). Claude Code v2.0.61 with Opus 4.5.</w:t>
      </w:r>
    </w:p>
    <w:p>
      <w:pPr>
        <w:numPr>
          <w:ilvl w:val="1"/>
          <w:numId w:val="1003"/>
        </w:numPr>
        <w:pStyle w:val="Compact"/>
      </w:pPr>
      <w:r>
        <w:t xml:space="preserve">Anthropic. (2026b). Anthropic Claude API documentation.</w:t>
      </w:r>
    </w:p>
    <w:p>
      <w:r>
        <w:pict>
          <v:rect style="width:0;height:1.5pt" o:hralign="center" o:hrstd="t" o:hr="t"/>
        </w:pict>
      </w:r>
    </w:p>
    <w:p>
      <w:pPr>
        <w:pStyle w:val="FirstParagraph"/>
      </w:pPr>
      <w:r>
        <w:rPr>
          <w:b/>
        </w:rPr>
        <w:t xml:space="preserve">Implementation Complete</w:t>
      </w:r>
      <w:r>
        <w:t xml:space="preserve"> </w:t>
      </w:r>
      <w:r>
        <w:t xml:space="preserve">Ready for user review and regulatory filing integration.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2026-02-27T21:12:35Z</dcterms:created>
  <dcterms:modified xsi:type="dcterms:W3CDTF">2026-02-27T21:12:35Z</dcterms:modified>
</cp:coreProperties>
</file>

<file path=docProps/custom.xml><?xml version="1.0" encoding="utf-8"?>
<Properties xmlns="http://schemas.openxmlformats.org/officeDocument/2006/custom-properties" xmlns:vt="http://schemas.openxmlformats.org/officeDocument/2006/docPropsVTypes"/>
</file>